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4BAFD" w14:textId="58B23B3C" w:rsidR="00480F16" w:rsidRDefault="00480F16" w:rsidP="00480F16">
      <w:pPr>
        <w:pStyle w:val="Heading1"/>
        <w:jc w:val="left"/>
        <w:rPr>
          <w:rFonts w:eastAsiaTheme="minorHAnsi"/>
        </w:rPr>
      </w:pPr>
      <w:r>
        <w:rPr>
          <w:rFonts w:eastAsiaTheme="minorHAnsi"/>
        </w:rPr>
        <w:t xml:space="preserve">The Office of Acquisition and Logistics Management Newsletter – </w:t>
      </w:r>
      <w:r w:rsidR="00AC5859">
        <w:rPr>
          <w:rFonts w:eastAsiaTheme="minorHAnsi"/>
        </w:rPr>
        <w:t xml:space="preserve">2019 </w:t>
      </w:r>
      <w:r w:rsidR="00135FE0">
        <w:rPr>
          <w:rFonts w:eastAsiaTheme="minorHAnsi"/>
        </w:rPr>
        <w:t xml:space="preserve">Fourth </w:t>
      </w:r>
      <w:r>
        <w:rPr>
          <w:rFonts w:eastAsiaTheme="minorHAnsi"/>
        </w:rPr>
        <w:t xml:space="preserve">Quarter </w:t>
      </w:r>
    </w:p>
    <w:p w14:paraId="5534A497" w14:textId="77777777" w:rsidR="00AC5859" w:rsidRDefault="00AC5859" w:rsidP="00AC5859">
      <w:pPr>
        <w:pStyle w:val="Heading1"/>
        <w:jc w:val="left"/>
        <w:rPr>
          <w:rFonts w:eastAsia="Times New Roman"/>
        </w:rPr>
      </w:pPr>
    </w:p>
    <w:p w14:paraId="3DC54376" w14:textId="622F9D35" w:rsidR="00AC5859" w:rsidRDefault="00AC5859" w:rsidP="00AC5859">
      <w:pPr>
        <w:pStyle w:val="Heading1"/>
        <w:jc w:val="left"/>
        <w:rPr>
          <w:rFonts w:eastAsia="Times New Roman"/>
        </w:rPr>
      </w:pPr>
      <w:r>
        <w:rPr>
          <w:rFonts w:eastAsia="Times New Roman"/>
        </w:rPr>
        <w:t xml:space="preserve">Prohibition </w:t>
      </w:r>
      <w:r w:rsidR="008819FE">
        <w:rPr>
          <w:rFonts w:eastAsia="Times New Roman"/>
        </w:rPr>
        <w:t xml:space="preserve">on Acquiring </w:t>
      </w:r>
      <w:r>
        <w:rPr>
          <w:rFonts w:eastAsia="Times New Roman"/>
        </w:rPr>
        <w:t xml:space="preserve">Certain Telecommunication </w:t>
      </w:r>
      <w:r w:rsidR="008819FE">
        <w:rPr>
          <w:rFonts w:eastAsia="Times New Roman"/>
        </w:rPr>
        <w:t xml:space="preserve">Equipment and Services </w:t>
      </w:r>
    </w:p>
    <w:p w14:paraId="53B9E57A" w14:textId="5BC62818" w:rsidR="00AC5859" w:rsidRPr="00135FE0" w:rsidRDefault="00AC5859" w:rsidP="00AC5859">
      <w:pPr>
        <w:rPr>
          <w:rFonts w:cs="Times New Roman"/>
          <w:color w:val="000000"/>
          <w:szCs w:val="24"/>
          <w:shd w:val="clear" w:color="auto" w:fill="FFFFFF"/>
        </w:rPr>
      </w:pPr>
      <w:r w:rsidRPr="00135FE0">
        <w:rPr>
          <w:rFonts w:cs="Times New Roman"/>
          <w:color w:val="000000"/>
          <w:szCs w:val="24"/>
          <w:shd w:val="clear" w:color="auto" w:fill="FFFFFF"/>
        </w:rPr>
        <w:t xml:space="preserve">Section 889(a)(1)(A) of the </w:t>
      </w:r>
      <w:hyperlink r:id="rId6" w:history="1">
        <w:r w:rsidRPr="00135FE0">
          <w:rPr>
            <w:rStyle w:val="Hyperlink"/>
            <w:rFonts w:cs="Times New Roman"/>
            <w:szCs w:val="24"/>
            <w:shd w:val="clear" w:color="auto" w:fill="FFFFFF"/>
          </w:rPr>
          <w:t>2019 National Defense Authorization Act (NDAA)</w:t>
        </w:r>
      </w:hyperlink>
      <w:r w:rsidRPr="00135FE0">
        <w:rPr>
          <w:rFonts w:cs="Times New Roman"/>
          <w:color w:val="000000"/>
          <w:szCs w:val="24"/>
          <w:shd w:val="clear" w:color="auto" w:fill="FFFFFF"/>
        </w:rPr>
        <w:t xml:space="preserve"> prohibits the federal government from acquiring telecommunications equipment or services from Huawei, ZTE</w:t>
      </w:r>
      <w:r w:rsidR="002549F5">
        <w:rPr>
          <w:rFonts w:cs="Times New Roman"/>
          <w:color w:val="000000"/>
          <w:szCs w:val="24"/>
          <w:shd w:val="clear" w:color="auto" w:fill="FFFFFF"/>
        </w:rPr>
        <w:t xml:space="preserve"> Corporation, Hytera Communications Corporation, Hangzhou </w:t>
      </w:r>
      <w:r w:rsidR="002549F5" w:rsidRPr="002549F5">
        <w:rPr>
          <w:rFonts w:cs="Times New Roman"/>
          <w:color w:val="000000"/>
          <w:szCs w:val="24"/>
          <w:shd w:val="clear" w:color="auto" w:fill="FFFFFF"/>
        </w:rPr>
        <w:t xml:space="preserve">Hikvision Digital Technology Company, or </w:t>
      </w:r>
      <w:proofErr w:type="spellStart"/>
      <w:r w:rsidR="002549F5" w:rsidRPr="002549F5">
        <w:rPr>
          <w:rFonts w:cs="Times New Roman"/>
          <w:color w:val="000000"/>
          <w:szCs w:val="24"/>
          <w:shd w:val="clear" w:color="auto" w:fill="FFFFFF"/>
        </w:rPr>
        <w:t>Dahua</w:t>
      </w:r>
      <w:proofErr w:type="spellEnd"/>
      <w:r w:rsidR="002549F5" w:rsidRPr="002549F5">
        <w:rPr>
          <w:rFonts w:cs="Times New Roman"/>
          <w:color w:val="000000"/>
          <w:szCs w:val="24"/>
          <w:shd w:val="clear" w:color="auto" w:fill="FFFFFF"/>
        </w:rPr>
        <w:t xml:space="preserve"> Technology Company</w:t>
      </w:r>
      <w:r w:rsidR="002549F5">
        <w:rPr>
          <w:rFonts w:cs="Times New Roman"/>
          <w:color w:val="000000"/>
          <w:szCs w:val="24"/>
          <w:shd w:val="clear" w:color="auto" w:fill="FFFFFF"/>
        </w:rPr>
        <w:t xml:space="preserve"> (or </w:t>
      </w:r>
      <w:r w:rsidR="002549F5" w:rsidRPr="002549F5">
        <w:rPr>
          <w:rFonts w:cs="Times New Roman"/>
          <w:color w:val="000000"/>
          <w:szCs w:val="24"/>
          <w:shd w:val="clear" w:color="auto" w:fill="FFFFFF"/>
        </w:rPr>
        <w:t>any subsidiary or affiliate of such entities</w:t>
      </w:r>
      <w:r w:rsidR="002549F5">
        <w:rPr>
          <w:rFonts w:cs="Times New Roman"/>
          <w:color w:val="000000"/>
          <w:szCs w:val="24"/>
          <w:shd w:val="clear" w:color="auto" w:fill="FFFFFF"/>
        </w:rPr>
        <w:t xml:space="preserve">). </w:t>
      </w:r>
      <w:r w:rsidR="002549F5" w:rsidRPr="002549F5">
        <w:rPr>
          <w:rFonts w:cs="Times New Roman"/>
          <w:b/>
          <w:bCs/>
          <w:color w:val="000000"/>
          <w:szCs w:val="24"/>
          <w:shd w:val="clear" w:color="auto" w:fill="FFFFFF"/>
        </w:rPr>
        <w:t xml:space="preserve"> </w:t>
      </w:r>
      <w:r w:rsidRPr="00135FE0">
        <w:rPr>
          <w:rFonts w:cs="Times New Roman"/>
          <w:color w:val="000000"/>
          <w:szCs w:val="24"/>
          <w:shd w:val="clear" w:color="auto" w:fill="FFFFFF"/>
        </w:rPr>
        <w:t>This applies to new solicitations issued on or after Aug</w:t>
      </w:r>
      <w:r>
        <w:rPr>
          <w:rFonts w:cs="Times New Roman"/>
          <w:color w:val="000000"/>
          <w:szCs w:val="24"/>
          <w:shd w:val="clear" w:color="auto" w:fill="FFFFFF"/>
        </w:rPr>
        <w:t xml:space="preserve">ust </w:t>
      </w:r>
      <w:r w:rsidRPr="00135FE0">
        <w:rPr>
          <w:rFonts w:cs="Times New Roman"/>
          <w:color w:val="000000"/>
          <w:szCs w:val="24"/>
          <w:shd w:val="clear" w:color="auto" w:fill="FFFFFF"/>
        </w:rPr>
        <w:t>13</w:t>
      </w:r>
      <w:r>
        <w:rPr>
          <w:rFonts w:cs="Times New Roman"/>
          <w:color w:val="000000"/>
          <w:szCs w:val="24"/>
          <w:shd w:val="clear" w:color="auto" w:fill="FFFFFF"/>
        </w:rPr>
        <w:t>, 2019</w:t>
      </w:r>
      <w:r w:rsidRPr="00135FE0">
        <w:rPr>
          <w:rFonts w:cs="Times New Roman"/>
          <w:color w:val="000000"/>
          <w:szCs w:val="24"/>
          <w:shd w:val="clear" w:color="auto" w:fill="FFFFFF"/>
        </w:rPr>
        <w:t xml:space="preserve"> and any resulting contracts, as well as to contracts that are awarded on or after Aug</w:t>
      </w:r>
      <w:r>
        <w:rPr>
          <w:rFonts w:cs="Times New Roman"/>
          <w:color w:val="000000"/>
          <w:szCs w:val="24"/>
          <w:shd w:val="clear" w:color="auto" w:fill="FFFFFF"/>
        </w:rPr>
        <w:t xml:space="preserve">ust </w:t>
      </w:r>
      <w:r w:rsidRPr="00135FE0">
        <w:rPr>
          <w:rFonts w:cs="Times New Roman"/>
          <w:color w:val="000000"/>
          <w:szCs w:val="24"/>
          <w:shd w:val="clear" w:color="auto" w:fill="FFFFFF"/>
        </w:rPr>
        <w:t>13,</w:t>
      </w:r>
      <w:r>
        <w:rPr>
          <w:rFonts w:cs="Times New Roman"/>
          <w:color w:val="000000"/>
          <w:szCs w:val="24"/>
          <w:shd w:val="clear" w:color="auto" w:fill="FFFFFF"/>
        </w:rPr>
        <w:t xml:space="preserve"> 2019</w:t>
      </w:r>
      <w:r w:rsidRPr="00135FE0">
        <w:rPr>
          <w:rFonts w:cs="Times New Roman"/>
          <w:color w:val="000000"/>
          <w:szCs w:val="24"/>
          <w:shd w:val="clear" w:color="auto" w:fill="FFFFFF"/>
        </w:rPr>
        <w:t xml:space="preserve"> even if the solicitations preceded that date.</w:t>
      </w:r>
    </w:p>
    <w:p w14:paraId="1DA54A78" w14:textId="77777777" w:rsidR="00AC5859" w:rsidRPr="00135FE0" w:rsidRDefault="00E37DF3" w:rsidP="00AC5859">
      <w:pPr>
        <w:autoSpaceDE w:val="0"/>
        <w:autoSpaceDN w:val="0"/>
        <w:adjustRightInd w:val="0"/>
        <w:spacing w:after="0" w:line="240" w:lineRule="auto"/>
        <w:rPr>
          <w:rFonts w:cs="Times New Roman"/>
          <w:color w:val="000000"/>
          <w:szCs w:val="24"/>
          <w:shd w:val="clear" w:color="auto" w:fill="FFFFFF"/>
        </w:rPr>
      </w:pPr>
      <w:hyperlink r:id="rId7" w:history="1">
        <w:r w:rsidR="00AC5859" w:rsidRPr="00135FE0">
          <w:rPr>
            <w:rStyle w:val="Hyperlink"/>
            <w:rFonts w:cs="Times New Roman"/>
            <w:szCs w:val="24"/>
            <w:shd w:val="clear" w:color="auto" w:fill="FFFFFF"/>
          </w:rPr>
          <w:t>FAR Case 2018-017</w:t>
        </w:r>
      </w:hyperlink>
      <w:r w:rsidR="00AC5859" w:rsidRPr="00135FE0">
        <w:rPr>
          <w:rFonts w:cs="Times New Roman"/>
          <w:color w:val="000000"/>
          <w:szCs w:val="24"/>
          <w:shd w:val="clear" w:color="auto" w:fill="FFFFFF"/>
        </w:rPr>
        <w:t xml:space="preserve"> addresses the provision of covered telecommunications equipment or services by:</w:t>
      </w:r>
    </w:p>
    <w:p w14:paraId="6926AC91" w14:textId="77777777" w:rsidR="00AC5859" w:rsidRPr="00135FE0" w:rsidRDefault="00AC5859" w:rsidP="00AC5859">
      <w:pPr>
        <w:pStyle w:val="ListParagraph"/>
        <w:numPr>
          <w:ilvl w:val="0"/>
          <w:numId w:val="10"/>
        </w:numPr>
        <w:autoSpaceDE w:val="0"/>
        <w:autoSpaceDN w:val="0"/>
        <w:adjustRightInd w:val="0"/>
        <w:spacing w:after="0" w:line="240" w:lineRule="auto"/>
        <w:rPr>
          <w:rFonts w:ascii="Times New Roman" w:hAnsi="Times New Roman" w:cs="Times New Roman"/>
          <w:color w:val="000000"/>
          <w:szCs w:val="24"/>
          <w:shd w:val="clear" w:color="auto" w:fill="FFFFFF"/>
        </w:rPr>
      </w:pPr>
      <w:r w:rsidRPr="00135FE0">
        <w:rPr>
          <w:rFonts w:ascii="Times New Roman" w:hAnsi="Times New Roman" w:cs="Times New Roman"/>
          <w:color w:val="000000"/>
          <w:szCs w:val="24"/>
          <w:shd w:val="clear" w:color="auto" w:fill="FFFFFF"/>
        </w:rPr>
        <w:t>Prohibiting contractors from providing covered telecommunications equipment or services unless the agency confirms that an exception applies, or a waiver is granted</w:t>
      </w:r>
      <w:r>
        <w:rPr>
          <w:rFonts w:ascii="Times New Roman" w:hAnsi="Times New Roman" w:cs="Times New Roman"/>
          <w:color w:val="000000"/>
          <w:szCs w:val="24"/>
          <w:shd w:val="clear" w:color="auto" w:fill="FFFFFF"/>
        </w:rPr>
        <w:t>.</w:t>
      </w:r>
    </w:p>
    <w:p w14:paraId="0BB721C0" w14:textId="77777777" w:rsidR="00AC5859" w:rsidRPr="00135FE0" w:rsidRDefault="00AC5859" w:rsidP="00AC5859">
      <w:pPr>
        <w:pStyle w:val="ListParagraph"/>
        <w:numPr>
          <w:ilvl w:val="0"/>
          <w:numId w:val="10"/>
        </w:numPr>
        <w:autoSpaceDE w:val="0"/>
        <w:autoSpaceDN w:val="0"/>
        <w:adjustRightInd w:val="0"/>
        <w:spacing w:after="0" w:line="240" w:lineRule="auto"/>
        <w:rPr>
          <w:rFonts w:ascii="Times New Roman" w:hAnsi="Times New Roman" w:cs="Times New Roman"/>
          <w:color w:val="000000"/>
          <w:szCs w:val="24"/>
          <w:shd w:val="clear" w:color="auto" w:fill="FFFFFF"/>
        </w:rPr>
      </w:pPr>
      <w:r w:rsidRPr="00135FE0">
        <w:rPr>
          <w:rFonts w:ascii="Times New Roman" w:hAnsi="Times New Roman" w:cs="Times New Roman"/>
          <w:color w:val="000000"/>
          <w:szCs w:val="24"/>
          <w:shd w:val="clear" w:color="auto" w:fill="FFFFFF"/>
        </w:rPr>
        <w:t>Requiring every offer for a contract or order that includes covered equipment or services to provide additional details</w:t>
      </w:r>
      <w:r>
        <w:rPr>
          <w:rFonts w:ascii="Times New Roman" w:hAnsi="Times New Roman" w:cs="Times New Roman"/>
          <w:color w:val="000000"/>
          <w:szCs w:val="24"/>
          <w:shd w:val="clear" w:color="auto" w:fill="FFFFFF"/>
        </w:rPr>
        <w:t>.</w:t>
      </w:r>
    </w:p>
    <w:p w14:paraId="0B968BE2" w14:textId="77777777" w:rsidR="00AC5859" w:rsidRPr="00135FE0" w:rsidRDefault="00AC5859" w:rsidP="00AC5859">
      <w:pPr>
        <w:pStyle w:val="ListParagraph"/>
        <w:numPr>
          <w:ilvl w:val="0"/>
          <w:numId w:val="10"/>
        </w:numPr>
        <w:spacing w:after="160" w:line="259" w:lineRule="auto"/>
        <w:rPr>
          <w:rFonts w:ascii="Times New Roman" w:hAnsi="Times New Roman" w:cs="Times New Roman"/>
          <w:color w:val="000000"/>
          <w:szCs w:val="24"/>
          <w:shd w:val="clear" w:color="auto" w:fill="FFFFFF"/>
        </w:rPr>
      </w:pPr>
      <w:r w:rsidRPr="00135FE0">
        <w:rPr>
          <w:rFonts w:ascii="Times New Roman" w:hAnsi="Times New Roman" w:cs="Times New Roman"/>
          <w:color w:val="000000"/>
          <w:szCs w:val="24"/>
          <w:shd w:val="clear" w:color="auto" w:fill="FFFFFF"/>
        </w:rPr>
        <w:t xml:space="preserve">Mandating that contractors report any covered equipment or services if discovered </w:t>
      </w:r>
      <w:proofErr w:type="gramStart"/>
      <w:r w:rsidRPr="00135FE0">
        <w:rPr>
          <w:rFonts w:ascii="Times New Roman" w:hAnsi="Times New Roman" w:cs="Times New Roman"/>
          <w:color w:val="000000"/>
          <w:szCs w:val="24"/>
          <w:shd w:val="clear" w:color="auto" w:fill="FFFFFF"/>
        </w:rPr>
        <w:t>during the course of</w:t>
      </w:r>
      <w:proofErr w:type="gramEnd"/>
      <w:r w:rsidRPr="00135FE0">
        <w:rPr>
          <w:rFonts w:ascii="Times New Roman" w:hAnsi="Times New Roman" w:cs="Times New Roman"/>
          <w:color w:val="000000"/>
          <w:szCs w:val="24"/>
          <w:shd w:val="clear" w:color="auto" w:fill="FFFFFF"/>
        </w:rPr>
        <w:t xml:space="preserve"> contract performance</w:t>
      </w:r>
      <w:r>
        <w:rPr>
          <w:rFonts w:ascii="Times New Roman" w:hAnsi="Times New Roman" w:cs="Times New Roman"/>
          <w:color w:val="000000"/>
          <w:szCs w:val="24"/>
          <w:shd w:val="clear" w:color="auto" w:fill="FFFFFF"/>
        </w:rPr>
        <w:t>.</w:t>
      </w:r>
    </w:p>
    <w:p w14:paraId="6F8F4BB0" w14:textId="6C3AB48F" w:rsidR="00AC5859" w:rsidRPr="00135FE0" w:rsidRDefault="00AC5859" w:rsidP="00AC5859">
      <w:pPr>
        <w:rPr>
          <w:rFonts w:cs="Times New Roman"/>
          <w:color w:val="000000"/>
          <w:szCs w:val="24"/>
          <w:shd w:val="clear" w:color="auto" w:fill="FFFFFF"/>
        </w:rPr>
      </w:pPr>
      <w:r w:rsidRPr="00135FE0">
        <w:rPr>
          <w:rFonts w:cs="Times New Roman"/>
          <w:color w:val="000000"/>
          <w:szCs w:val="24"/>
          <w:shd w:val="clear" w:color="auto" w:fill="FFFFFF"/>
        </w:rPr>
        <w:t xml:space="preserve">This prohibition applies to </w:t>
      </w:r>
      <w:r w:rsidRPr="00AC5859">
        <w:rPr>
          <w:rFonts w:cs="Times New Roman"/>
          <w:color w:val="000000"/>
          <w:szCs w:val="24"/>
          <w:u w:val="single"/>
          <w:shd w:val="clear" w:color="auto" w:fill="FFFFFF"/>
        </w:rPr>
        <w:t>all</w:t>
      </w:r>
      <w:r w:rsidRPr="00135FE0">
        <w:rPr>
          <w:rFonts w:cs="Times New Roman"/>
          <w:color w:val="000000"/>
          <w:szCs w:val="24"/>
          <w:shd w:val="clear" w:color="auto" w:fill="FFFFFF"/>
        </w:rPr>
        <w:t xml:space="preserve"> contracts, including those below the Simplified Acquisition Threshold and</w:t>
      </w:r>
      <w:r>
        <w:rPr>
          <w:rFonts w:cs="Times New Roman"/>
          <w:color w:val="000000"/>
          <w:szCs w:val="24"/>
          <w:shd w:val="clear" w:color="auto" w:fill="FFFFFF"/>
        </w:rPr>
        <w:t xml:space="preserve"> purchases</w:t>
      </w:r>
      <w:r w:rsidRPr="00135FE0">
        <w:rPr>
          <w:rFonts w:cs="Times New Roman"/>
          <w:color w:val="000000"/>
          <w:szCs w:val="24"/>
          <w:shd w:val="clear" w:color="auto" w:fill="FFFFFF"/>
        </w:rPr>
        <w:t xml:space="preserve"> </w:t>
      </w:r>
      <w:r>
        <w:rPr>
          <w:rFonts w:cs="Times New Roman"/>
          <w:color w:val="000000"/>
          <w:szCs w:val="24"/>
          <w:shd w:val="clear" w:color="auto" w:fill="FFFFFF"/>
        </w:rPr>
        <w:t xml:space="preserve">below </w:t>
      </w:r>
      <w:r w:rsidRPr="00135FE0">
        <w:rPr>
          <w:rFonts w:cs="Times New Roman"/>
          <w:color w:val="000000"/>
          <w:szCs w:val="24"/>
          <w:shd w:val="clear" w:color="auto" w:fill="FFFFFF"/>
        </w:rPr>
        <w:t>the Micro</w:t>
      </w:r>
      <w:r>
        <w:rPr>
          <w:rFonts w:cs="Times New Roman"/>
          <w:color w:val="000000"/>
          <w:szCs w:val="24"/>
          <w:shd w:val="clear" w:color="auto" w:fill="FFFFFF"/>
        </w:rPr>
        <w:t>-P</w:t>
      </w:r>
      <w:r w:rsidRPr="00135FE0">
        <w:rPr>
          <w:rFonts w:cs="Times New Roman"/>
          <w:color w:val="000000"/>
          <w:szCs w:val="24"/>
          <w:shd w:val="clear" w:color="auto" w:fill="FFFFFF"/>
        </w:rPr>
        <w:t>urchase Threshold.</w:t>
      </w:r>
    </w:p>
    <w:p w14:paraId="675788A9" w14:textId="77777777" w:rsidR="00AC5859" w:rsidRPr="00135FE0" w:rsidRDefault="00AC5859" w:rsidP="00AC5859">
      <w:pPr>
        <w:rPr>
          <w:rFonts w:cs="Times New Roman"/>
          <w:color w:val="000000"/>
          <w:szCs w:val="24"/>
          <w:shd w:val="clear" w:color="auto" w:fill="FFFFFF"/>
        </w:rPr>
      </w:pPr>
      <w:r w:rsidRPr="00135FE0">
        <w:rPr>
          <w:rFonts w:cs="Times New Roman"/>
          <w:color w:val="000000"/>
          <w:szCs w:val="24"/>
          <w:shd w:val="clear" w:color="auto" w:fill="FFFFFF"/>
        </w:rPr>
        <w:t xml:space="preserve">For additional clarification, please reference the </w:t>
      </w:r>
      <w:hyperlink r:id="rId8" w:history="1">
        <w:r w:rsidRPr="00135FE0">
          <w:rPr>
            <w:rStyle w:val="Hyperlink"/>
            <w:rFonts w:cs="Times New Roman"/>
            <w:szCs w:val="24"/>
            <w:shd w:val="clear" w:color="auto" w:fill="FFFFFF"/>
          </w:rPr>
          <w:t>889 FAQ for Acquisition Workforce</w:t>
        </w:r>
      </w:hyperlink>
      <w:r w:rsidRPr="00135FE0">
        <w:rPr>
          <w:rFonts w:cs="Times New Roman"/>
          <w:color w:val="000000"/>
          <w:szCs w:val="24"/>
          <w:shd w:val="clear" w:color="auto" w:fill="FFFFFF"/>
        </w:rPr>
        <w:t xml:space="preserve"> or the </w:t>
      </w:r>
      <w:hyperlink r:id="rId9" w:history="1">
        <w:r w:rsidRPr="00135FE0">
          <w:rPr>
            <w:rStyle w:val="Hyperlink"/>
            <w:rFonts w:cs="Times New Roman"/>
            <w:szCs w:val="24"/>
            <w:shd w:val="clear" w:color="auto" w:fill="FFFFFF"/>
          </w:rPr>
          <w:t>FAR 4.2105 Decision Tree</w:t>
        </w:r>
      </w:hyperlink>
      <w:r w:rsidRPr="00135FE0">
        <w:rPr>
          <w:rFonts w:cs="Times New Roman"/>
          <w:color w:val="000000"/>
          <w:szCs w:val="24"/>
          <w:shd w:val="clear" w:color="auto" w:fill="FFFFFF"/>
        </w:rPr>
        <w:t xml:space="preserve"> found on the Simplified Acquisition SharePoint site.</w:t>
      </w:r>
    </w:p>
    <w:p w14:paraId="1336481E" w14:textId="77777777" w:rsidR="00480F16" w:rsidRDefault="00480F16" w:rsidP="00480F16">
      <w:pPr>
        <w:pStyle w:val="Heading1"/>
        <w:jc w:val="left"/>
        <w:rPr>
          <w:rFonts w:eastAsiaTheme="minorHAnsi"/>
        </w:rPr>
      </w:pPr>
    </w:p>
    <w:p w14:paraId="5CFD5886" w14:textId="6FCC84E5" w:rsidR="00AC5076" w:rsidRPr="00135FE0" w:rsidRDefault="000D09B5" w:rsidP="00135FE0">
      <w:pPr>
        <w:pStyle w:val="Heading1"/>
        <w:jc w:val="left"/>
        <w:rPr>
          <w:rFonts w:eastAsia="Times New Roman"/>
        </w:rPr>
      </w:pPr>
      <w:r>
        <w:rPr>
          <w:rStyle w:val="Strong"/>
          <w:rFonts w:eastAsia="Times New Roman"/>
          <w:b/>
          <w:bCs/>
        </w:rPr>
        <w:t xml:space="preserve">HHS </w:t>
      </w:r>
      <w:r w:rsidR="00135FE0">
        <w:rPr>
          <w:rStyle w:val="Strong"/>
          <w:rFonts w:eastAsia="Times New Roman"/>
          <w:b/>
          <w:bCs/>
        </w:rPr>
        <w:t xml:space="preserve">Policy Flash </w:t>
      </w:r>
      <w:r>
        <w:rPr>
          <w:rStyle w:val="Strong"/>
          <w:rFonts w:eastAsia="Times New Roman"/>
          <w:b/>
          <w:bCs/>
        </w:rPr>
        <w:t xml:space="preserve">20-01: Accurate Product Service Code (PSC) Selection is Crucial </w:t>
      </w:r>
    </w:p>
    <w:p w14:paraId="653A7500" w14:textId="5B5ADED6"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t>The HHS acquisition workforce is reminded the selection of the most accurate, precise</w:t>
      </w:r>
      <w:r w:rsidR="009A3D1B">
        <w:rPr>
          <w:rFonts w:ascii="Times New Roman" w:hAnsi="Times New Roman" w:cs="Times New Roman"/>
          <w:sz w:val="24"/>
          <w:szCs w:val="24"/>
        </w:rPr>
        <w:t>,</w:t>
      </w:r>
      <w:r w:rsidRPr="00135FE0">
        <w:rPr>
          <w:rFonts w:ascii="Times New Roman" w:hAnsi="Times New Roman" w:cs="Times New Roman"/>
          <w:sz w:val="24"/>
          <w:szCs w:val="24"/>
        </w:rPr>
        <w:t xml:space="preserve"> and descriptive Product Service Code (PSC), based on the predominant product or service being purchased, is critical to the federal reporting process. The purpose of the codes </w:t>
      </w:r>
      <w:r w:rsidR="00476CDF">
        <w:rPr>
          <w:rFonts w:ascii="Times New Roman" w:hAnsi="Times New Roman" w:cs="Times New Roman"/>
          <w:sz w:val="24"/>
          <w:szCs w:val="24"/>
        </w:rPr>
        <w:t>is</w:t>
      </w:r>
      <w:r w:rsidRPr="00135FE0">
        <w:rPr>
          <w:rFonts w:ascii="Times New Roman" w:hAnsi="Times New Roman" w:cs="Times New Roman"/>
          <w:sz w:val="24"/>
          <w:szCs w:val="24"/>
        </w:rPr>
        <w:t xml:space="preserve"> to indicate “WHAT” and “HOW” specific products and services are being purchased and to assist industry, agencies, and government leadership with making critical procurement policy and acquisition decisions. The information collected provides data for compiling </w:t>
      </w:r>
      <w:r w:rsidR="00D55367" w:rsidRPr="00135FE0">
        <w:rPr>
          <w:rFonts w:ascii="Times New Roman" w:hAnsi="Times New Roman" w:cs="Times New Roman"/>
          <w:sz w:val="24"/>
          <w:szCs w:val="24"/>
        </w:rPr>
        <w:t>legally mandated</w:t>
      </w:r>
      <w:r w:rsidRPr="00135FE0">
        <w:rPr>
          <w:rFonts w:ascii="Times New Roman" w:hAnsi="Times New Roman" w:cs="Times New Roman"/>
          <w:sz w:val="24"/>
          <w:szCs w:val="24"/>
        </w:rPr>
        <w:t xml:space="preserve"> reports, exami</w:t>
      </w:r>
      <w:r w:rsidR="009A3D1B">
        <w:rPr>
          <w:rFonts w:ascii="Times New Roman" w:hAnsi="Times New Roman" w:cs="Times New Roman"/>
          <w:sz w:val="24"/>
          <w:szCs w:val="24"/>
        </w:rPr>
        <w:t>ne</w:t>
      </w:r>
      <w:r w:rsidRPr="00135FE0">
        <w:rPr>
          <w:rFonts w:ascii="Times New Roman" w:hAnsi="Times New Roman" w:cs="Times New Roman"/>
          <w:sz w:val="24"/>
          <w:szCs w:val="24"/>
        </w:rPr>
        <w:t xml:space="preserve"> existing trends in Federal spending, and help</w:t>
      </w:r>
      <w:r w:rsidR="00476CDF">
        <w:rPr>
          <w:rFonts w:ascii="Times New Roman" w:hAnsi="Times New Roman" w:cs="Times New Roman"/>
          <w:sz w:val="24"/>
          <w:szCs w:val="24"/>
        </w:rPr>
        <w:t>s</w:t>
      </w:r>
      <w:r w:rsidRPr="00135FE0">
        <w:rPr>
          <w:rFonts w:ascii="Times New Roman" w:hAnsi="Times New Roman" w:cs="Times New Roman"/>
          <w:sz w:val="24"/>
          <w:szCs w:val="24"/>
        </w:rPr>
        <w:t xml:space="preserve"> link procurement systems to contracting and financial data. </w:t>
      </w:r>
    </w:p>
    <w:p w14:paraId="0EA76721" w14:textId="23E200D9"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t>Miscellaneous PSC codes ending in “99” [e.g., R499 (Support – Professional: Other)</w:t>
      </w:r>
      <w:r w:rsidR="00476CDF">
        <w:rPr>
          <w:rFonts w:ascii="Times New Roman" w:hAnsi="Times New Roman" w:cs="Times New Roman"/>
          <w:sz w:val="24"/>
          <w:szCs w:val="24"/>
        </w:rPr>
        <w:t>,</w:t>
      </w:r>
      <w:r w:rsidRPr="00135FE0">
        <w:rPr>
          <w:rFonts w:ascii="Times New Roman" w:hAnsi="Times New Roman" w:cs="Times New Roman"/>
          <w:sz w:val="24"/>
          <w:szCs w:val="24"/>
        </w:rPr>
        <w:t xml:space="preserve"> R699 (Support – Administrative: Other)</w:t>
      </w:r>
      <w:r w:rsidR="00476CDF">
        <w:rPr>
          <w:rFonts w:ascii="Times New Roman" w:hAnsi="Times New Roman" w:cs="Times New Roman"/>
          <w:sz w:val="24"/>
          <w:szCs w:val="24"/>
        </w:rPr>
        <w:t>,</w:t>
      </w:r>
      <w:r w:rsidRPr="00135FE0">
        <w:rPr>
          <w:rFonts w:ascii="Times New Roman" w:hAnsi="Times New Roman" w:cs="Times New Roman"/>
          <w:sz w:val="24"/>
          <w:szCs w:val="24"/>
        </w:rPr>
        <w:t xml:space="preserve"> and R799 (Support – Management: Other)] are often selected as the default</w:t>
      </w:r>
      <w:r w:rsidR="00476CDF">
        <w:rPr>
          <w:rFonts w:ascii="Times New Roman" w:hAnsi="Times New Roman" w:cs="Times New Roman"/>
          <w:sz w:val="24"/>
          <w:szCs w:val="24"/>
        </w:rPr>
        <w:t xml:space="preserve"> codes</w:t>
      </w:r>
      <w:r w:rsidRPr="00135FE0">
        <w:rPr>
          <w:rFonts w:ascii="Times New Roman" w:hAnsi="Times New Roman" w:cs="Times New Roman"/>
          <w:sz w:val="24"/>
          <w:szCs w:val="24"/>
        </w:rPr>
        <w:t xml:space="preserve"> rather than the exception. To support data integrity and prudent business decisions, acquisition professionals are encouraged to use miscellaneous codes sparingly since they are vague and do not supply adequate information on purchase types and categories.  Contracting officers are encouraged to choose a PSC code that is meaningful and best describes what is truly being bought. </w:t>
      </w:r>
    </w:p>
    <w:p w14:paraId="472C2691" w14:textId="5EC966D9"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lastRenderedPageBreak/>
        <w:t>In addition to recording accurate PSC code</w:t>
      </w:r>
      <w:r w:rsidR="008039B3">
        <w:rPr>
          <w:rFonts w:ascii="Times New Roman" w:hAnsi="Times New Roman" w:cs="Times New Roman"/>
          <w:sz w:val="24"/>
          <w:szCs w:val="24"/>
        </w:rPr>
        <w:t>s</w:t>
      </w:r>
      <w:r w:rsidRPr="00135FE0">
        <w:rPr>
          <w:rFonts w:ascii="Times New Roman" w:hAnsi="Times New Roman" w:cs="Times New Roman"/>
          <w:sz w:val="24"/>
          <w:szCs w:val="24"/>
        </w:rPr>
        <w:t>, acquisition professionals are reminded to use the “Description of the Requirement” field in FPDS to fully summarize the principal purpose of the order in as much detail as possible. </w:t>
      </w:r>
    </w:p>
    <w:p w14:paraId="03D070C1" w14:textId="77777777"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t>Additional Resources:</w:t>
      </w:r>
    </w:p>
    <w:p w14:paraId="6E825B0D" w14:textId="3C5EDE61"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t xml:space="preserve">The </w:t>
      </w:r>
      <w:hyperlink r:id="rId10" w:history="1">
        <w:r w:rsidRPr="00AD63BA">
          <w:rPr>
            <w:rStyle w:val="Hyperlink"/>
            <w:rFonts w:ascii="Times New Roman" w:hAnsi="Times New Roman" w:cs="Times New Roman"/>
            <w:sz w:val="24"/>
            <w:szCs w:val="24"/>
          </w:rPr>
          <w:t>Federal Procurement Data System Product and Service Codes Manual</w:t>
        </w:r>
      </w:hyperlink>
      <w:r w:rsidRPr="00135FE0">
        <w:rPr>
          <w:rFonts w:ascii="Times New Roman" w:hAnsi="Times New Roman" w:cs="Times New Roman"/>
          <w:sz w:val="24"/>
          <w:szCs w:val="24"/>
        </w:rPr>
        <w:t xml:space="preserve"> (June 2019 Edition – effective June 28, 2019) </w:t>
      </w:r>
    </w:p>
    <w:p w14:paraId="19EBF1BE" w14:textId="6ADF46E4" w:rsidR="00135FE0" w:rsidRPr="00135FE0" w:rsidRDefault="00135FE0" w:rsidP="00135FE0">
      <w:pPr>
        <w:pStyle w:val="NormalWeb"/>
        <w:rPr>
          <w:rFonts w:ascii="Times New Roman" w:hAnsi="Times New Roman" w:cs="Times New Roman"/>
          <w:sz w:val="24"/>
          <w:szCs w:val="24"/>
        </w:rPr>
      </w:pPr>
      <w:r w:rsidRPr="00135FE0">
        <w:rPr>
          <w:rFonts w:ascii="Times New Roman" w:hAnsi="Times New Roman" w:cs="Times New Roman"/>
          <w:sz w:val="24"/>
          <w:szCs w:val="24"/>
        </w:rPr>
        <w:t xml:space="preserve">The Defense Pricing and Contracting (DPC) office maintains a Product Service Code (PSC) Selection Tool to assist the acquisition workforce with selecting Product Service Codes, Object Classification Codes, and North American Industry Classification System (NAICS) codes. </w:t>
      </w:r>
      <w:hyperlink r:id="rId11" w:history="1">
        <w:r w:rsidRPr="00AD63BA">
          <w:rPr>
            <w:rStyle w:val="Hyperlink"/>
            <w:rFonts w:ascii="Times New Roman" w:hAnsi="Times New Roman" w:cs="Times New Roman"/>
            <w:sz w:val="24"/>
            <w:szCs w:val="24"/>
          </w:rPr>
          <w:t>PSC Selection Tool</w:t>
        </w:r>
      </w:hyperlink>
      <w:r w:rsidR="00AD63BA">
        <w:rPr>
          <w:rFonts w:ascii="Times New Roman" w:hAnsi="Times New Roman" w:cs="Times New Roman"/>
          <w:sz w:val="24"/>
          <w:szCs w:val="24"/>
        </w:rPr>
        <w:t>.</w:t>
      </w:r>
    </w:p>
    <w:p w14:paraId="49818E0D" w14:textId="77777777" w:rsidR="00D433E5" w:rsidRPr="00F51D62" w:rsidRDefault="00D433E5" w:rsidP="00757C17">
      <w:pPr>
        <w:autoSpaceDE w:val="0"/>
        <w:autoSpaceDN w:val="0"/>
        <w:adjustRightInd w:val="0"/>
        <w:spacing w:after="0" w:line="240" w:lineRule="auto"/>
        <w:rPr>
          <w:rFonts w:asciiTheme="minorHAnsi" w:eastAsiaTheme="minorHAnsi" w:hAnsiTheme="minorHAnsi" w:cstheme="minorHAnsi"/>
          <w:szCs w:val="24"/>
        </w:rPr>
      </w:pPr>
    </w:p>
    <w:p w14:paraId="2663CA30" w14:textId="136BE661" w:rsidR="00D433E5" w:rsidRPr="00D433E5" w:rsidRDefault="00135FE0" w:rsidP="00D433E5">
      <w:pPr>
        <w:pStyle w:val="Heading1"/>
        <w:jc w:val="left"/>
        <w:rPr>
          <w:rFonts w:eastAsiaTheme="minorHAnsi"/>
        </w:rPr>
      </w:pPr>
      <w:r>
        <w:rPr>
          <w:rFonts w:eastAsiaTheme="minorHAnsi"/>
        </w:rPr>
        <w:t xml:space="preserve">Clear </w:t>
      </w:r>
      <w:r w:rsidR="008819FE">
        <w:rPr>
          <w:rFonts w:eastAsiaTheme="minorHAnsi"/>
        </w:rPr>
        <w:t xml:space="preserve">Contract </w:t>
      </w:r>
      <w:r>
        <w:rPr>
          <w:rFonts w:eastAsiaTheme="minorHAnsi"/>
        </w:rPr>
        <w:t>Language Crucial to Contractor Performance</w:t>
      </w:r>
    </w:p>
    <w:p w14:paraId="04F70882" w14:textId="207059CC" w:rsidR="00135FE0" w:rsidRDefault="00135FE0" w:rsidP="00135FE0">
      <w:r>
        <w:t xml:space="preserve">The </w:t>
      </w:r>
      <w:r w:rsidR="00BC079A">
        <w:t xml:space="preserve">Nuclear Regulatory Commission (NRC) </w:t>
      </w:r>
      <w:r>
        <w:t xml:space="preserve">Office of the Inspector General (OIG) conducted an evaluation </w:t>
      </w:r>
      <w:r w:rsidR="00775559">
        <w:t>of contracts</w:t>
      </w:r>
      <w:r w:rsidR="00BC079A">
        <w:t xml:space="preserve"> focused on </w:t>
      </w:r>
      <w:r>
        <w:t>Voice over Internet Protocol (VoIP)</w:t>
      </w:r>
      <w:r w:rsidR="00B42253">
        <w:t xml:space="preserve"> deployment</w:t>
      </w:r>
      <w:r>
        <w:t>.  The evaluation found</w:t>
      </w:r>
      <w:r w:rsidR="00DF5FF1">
        <w:t xml:space="preserve"> the language </w:t>
      </w:r>
      <w:r w:rsidR="008819FE">
        <w:t>used in</w:t>
      </w:r>
      <w:r w:rsidR="00DF5FF1">
        <w:t xml:space="preserve"> </w:t>
      </w:r>
      <w:r w:rsidR="008819FE">
        <w:t xml:space="preserve">a series of </w:t>
      </w:r>
      <w:r w:rsidR="00DF5FF1">
        <w:t>contracts w</w:t>
      </w:r>
      <w:r w:rsidR="008819FE">
        <w:t xml:space="preserve">as </w:t>
      </w:r>
      <w:r w:rsidR="00DF5FF1">
        <w:t>unclear and too board.</w:t>
      </w:r>
      <w:r>
        <w:t xml:space="preserve"> </w:t>
      </w:r>
    </w:p>
    <w:p w14:paraId="140E095E" w14:textId="0744D11B" w:rsidR="00135FE0" w:rsidRDefault="00135FE0" w:rsidP="00135FE0">
      <w:r>
        <w:t xml:space="preserve">In one case, the ambiguous language found in the contracts led to confusion as to </w:t>
      </w:r>
      <w:r w:rsidR="00AD63BA">
        <w:t xml:space="preserve">whether the </w:t>
      </w:r>
      <w:r>
        <w:t>contractor</w:t>
      </w:r>
      <w:r w:rsidR="00AD63BA">
        <w:t xml:space="preserve"> (Verizon)</w:t>
      </w:r>
      <w:r>
        <w:t xml:space="preserve"> was responsible for physically installing the VoIP phone on the desks at headquarters.  While NRC believed </w:t>
      </w:r>
      <w:r w:rsidR="00AD63BA">
        <w:t>Verizon</w:t>
      </w:r>
      <w:r>
        <w:t xml:space="preserve"> to be responsible, </w:t>
      </w:r>
      <w:r w:rsidR="00AD63BA">
        <w:t>Verizon</w:t>
      </w:r>
      <w:r>
        <w:t xml:space="preserve"> disagreed and ultimately did not install the VoIP phones.  As a result, NRC had to </w:t>
      </w:r>
      <w:r w:rsidR="00DF5FF1">
        <w:t xml:space="preserve">incur additional cost by </w:t>
      </w:r>
      <w:r w:rsidR="008819FE">
        <w:t xml:space="preserve">issuing another </w:t>
      </w:r>
      <w:r>
        <w:t>contract</w:t>
      </w:r>
      <w:r w:rsidR="008819FE">
        <w:t xml:space="preserve"> to perform the work</w:t>
      </w:r>
      <w:r>
        <w:t xml:space="preserve">.  </w:t>
      </w:r>
    </w:p>
    <w:p w14:paraId="2805DEA8" w14:textId="42077184" w:rsidR="008819FE" w:rsidRDefault="00DF5FF1" w:rsidP="008819FE">
      <w:r>
        <w:t xml:space="preserve">NRC contacted GSA for mediation because the agency believed that Verizon was not fulfilling its contractual duties.  However, after GSA reviewed the language in the contract, it was determined that Verizon was performing the work </w:t>
      </w:r>
      <w:r w:rsidRPr="008819FE">
        <w:t xml:space="preserve">stated </w:t>
      </w:r>
      <w:r w:rsidR="008819FE" w:rsidRPr="008819FE">
        <w:t xml:space="preserve">in the Statement of Work, as written. </w:t>
      </w:r>
      <w:r w:rsidRPr="008819FE">
        <w:t>As</w:t>
      </w:r>
      <w:r>
        <w:t xml:space="preserve"> a result, NRC could not recover any costs. </w:t>
      </w:r>
      <w:r w:rsidR="008819FE">
        <w:t xml:space="preserve">The result was programmatic confusion, delay in work, and added cost to meet program objectives.  </w:t>
      </w:r>
    </w:p>
    <w:p w14:paraId="798A2014" w14:textId="63371E40" w:rsidR="00135FE0" w:rsidRDefault="00135FE0" w:rsidP="00135FE0">
      <w:r>
        <w:t xml:space="preserve">The reason this occurred is because the </w:t>
      </w:r>
      <w:bookmarkStart w:id="0" w:name="_Hlk23764488"/>
      <w:r w:rsidRPr="00DF5FF1">
        <w:t>contract language was unclear and</w:t>
      </w:r>
      <w:r w:rsidR="00AD63BA" w:rsidRPr="00DF5FF1">
        <w:t xml:space="preserve"> too</w:t>
      </w:r>
      <w:r w:rsidRPr="00DF5FF1">
        <w:t xml:space="preserve"> b</w:t>
      </w:r>
      <w:r w:rsidR="00476CDF" w:rsidRPr="00DF5FF1">
        <w:t>road</w:t>
      </w:r>
      <w:bookmarkEnd w:id="0"/>
      <w:r>
        <w:t xml:space="preserve">.  </w:t>
      </w:r>
      <w:r w:rsidR="00BC079A">
        <w:t>A</w:t>
      </w:r>
      <w:r>
        <w:t xml:space="preserve"> contract </w:t>
      </w:r>
      <w:r w:rsidR="008819FE">
        <w:t xml:space="preserve">must </w:t>
      </w:r>
      <w:r>
        <w:t xml:space="preserve">clearly define the work </w:t>
      </w:r>
      <w:r w:rsidR="00476CDF">
        <w:t xml:space="preserve">for which a contractor is responsible </w:t>
      </w:r>
      <w:r>
        <w:t xml:space="preserve">as well as the performance objectives </w:t>
      </w:r>
      <w:r w:rsidR="008819FE">
        <w:t xml:space="preserve">that must be </w:t>
      </w:r>
      <w:r w:rsidR="00476CDF">
        <w:t xml:space="preserve">met.  </w:t>
      </w:r>
    </w:p>
    <w:p w14:paraId="1FA463D8" w14:textId="5211DDFA" w:rsidR="00135FE0" w:rsidRDefault="00476CDF" w:rsidP="00135FE0">
      <w:r>
        <w:t>T</w:t>
      </w:r>
      <w:r w:rsidR="00AD63BA">
        <w:t xml:space="preserve">o avoid situations like this, </w:t>
      </w:r>
      <w:r w:rsidR="00135FE0">
        <w:t>OIG recommends</w:t>
      </w:r>
      <w:r w:rsidR="00AB2F45">
        <w:t>:</w:t>
      </w:r>
      <w:r w:rsidR="00135FE0">
        <w:t xml:space="preserve"> clarification on contractor roles and responsibilities, consultation of legal counsel to avoid gaps and duplication of services, establishment of policy for all new telecommunications contracts</w:t>
      </w:r>
      <w:r w:rsidR="00AB2F45">
        <w:t xml:space="preserve"> &amp;</w:t>
      </w:r>
      <w:r w:rsidR="00135FE0">
        <w:t xml:space="preserve"> future modifications to current telecommunications contracts</w:t>
      </w:r>
      <w:r>
        <w:t>,</w:t>
      </w:r>
      <w:r w:rsidR="00AB2F45">
        <w:t xml:space="preserve"> </w:t>
      </w:r>
      <w:r w:rsidR="00135FE0">
        <w:t>and</w:t>
      </w:r>
      <w:r w:rsidR="00AB2F45">
        <w:t xml:space="preserve"> </w:t>
      </w:r>
      <w:r>
        <w:t>finally</w:t>
      </w:r>
      <w:r w:rsidR="00AB2F45">
        <w:t xml:space="preserve">, </w:t>
      </w:r>
      <w:r w:rsidR="00135FE0">
        <w:t>that CORs review roles and responsibilities to prevent gaps and duplication of services.</w:t>
      </w:r>
    </w:p>
    <w:p w14:paraId="26E4A748" w14:textId="2E08FA9B" w:rsidR="00D2179D" w:rsidRDefault="00135FE0" w:rsidP="00D2179D">
      <w:r>
        <w:t xml:space="preserve">Contractual language is essential to the success of the program and contractor performance.  Poorly written line items and Statement of Works (SoW) will only lead to greater burden in the future.  Please visit </w:t>
      </w:r>
      <w:hyperlink r:id="rId12" w:history="1">
        <w:r w:rsidRPr="006F51EA">
          <w:rPr>
            <w:rStyle w:val="Hyperlink"/>
          </w:rPr>
          <w:t>Evaluation of NRC’s Oversight of the Voice over Internet Protocol Contract and Implementation</w:t>
        </w:r>
      </w:hyperlink>
      <w:r>
        <w:t xml:space="preserve"> to review the full OIG evaluation. </w:t>
      </w:r>
    </w:p>
    <w:p w14:paraId="2982CD46" w14:textId="77777777" w:rsidR="00D2179D" w:rsidRDefault="00D2179D">
      <w:pPr>
        <w:spacing w:after="160" w:line="259" w:lineRule="auto"/>
      </w:pPr>
      <w:r>
        <w:br w:type="page"/>
      </w:r>
    </w:p>
    <w:p w14:paraId="2CF23CB7" w14:textId="1DA4FD0E" w:rsidR="005F2DE6" w:rsidRPr="00F51D62" w:rsidRDefault="00135FE0" w:rsidP="00480F16">
      <w:pPr>
        <w:pStyle w:val="Heading1"/>
        <w:jc w:val="left"/>
      </w:pPr>
      <w:r>
        <w:lastRenderedPageBreak/>
        <w:t>White House Honors NIH HBCU Program</w:t>
      </w:r>
    </w:p>
    <w:p w14:paraId="2EDCCE94" w14:textId="296B0E91" w:rsidR="00135FE0" w:rsidRPr="00135FE0" w:rsidRDefault="00135FE0" w:rsidP="00135FE0">
      <w:pPr>
        <w:rPr>
          <w:rFonts w:cs="Times New Roman"/>
          <w:b/>
          <w:i/>
          <w:szCs w:val="24"/>
        </w:rPr>
      </w:pPr>
      <w:r w:rsidRPr="00135FE0">
        <w:rPr>
          <w:rFonts w:cs="Times New Roman"/>
          <w:color w:val="1C1E29"/>
          <w:szCs w:val="24"/>
        </w:rPr>
        <w:t xml:space="preserve">The National Institutes of Health (NIH) and Historically Black Colleges and Universities (HBCUs) have shared a long history of successful advancements in healthcare. HBCUs maintain a longstanding tradition of contributing to the nation’s public health—as well as diversifying the healthcare profession.  </w:t>
      </w:r>
    </w:p>
    <w:p w14:paraId="67EDCCD2"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r w:rsidRPr="00135FE0">
        <w:rPr>
          <w:rFonts w:ascii="Times New Roman" w:hAnsi="Times New Roman" w:cs="Times New Roman"/>
          <w:color w:val="1C1E29"/>
          <w:sz w:val="24"/>
          <w:szCs w:val="24"/>
        </w:rPr>
        <w:t>In 2017, Ms. Diane J. Frasier, the NIH Head of the Contracting Activity, Director, Office of Acquisition and Logistics Management (OALM) established the Path to Excellence and Innovation (PEI) Program in accordance with the Presidential Executive Order (EO) 13779 </w:t>
      </w:r>
      <w:r w:rsidRPr="00135FE0">
        <w:rPr>
          <w:rStyle w:val="Emphasis"/>
          <w:rFonts w:ascii="Times New Roman" w:hAnsi="Times New Roman" w:cs="Times New Roman"/>
          <w:color w:val="1C1E29"/>
          <w:sz w:val="24"/>
          <w:szCs w:val="24"/>
        </w:rPr>
        <w:t>The White House Initiative to Promote Excellence and Innovation at Historically Black Colleges and Universities (WHIHBCU)</w:t>
      </w:r>
      <w:r w:rsidRPr="00135FE0">
        <w:rPr>
          <w:rFonts w:ascii="Times New Roman" w:hAnsi="Times New Roman" w:cs="Times New Roman"/>
          <w:color w:val="1C1E29"/>
          <w:sz w:val="24"/>
          <w:szCs w:val="24"/>
        </w:rPr>
        <w:t xml:space="preserve">. The PEI’s mission is to empower HBCUs with the knowledge, resources, and skills they need to effectively and consistently compete for and win partnership opportunities within the NIH. </w:t>
      </w:r>
    </w:p>
    <w:p w14:paraId="28D771F3"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p>
    <w:p w14:paraId="6C3B5310"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r w:rsidRPr="00135FE0">
        <w:rPr>
          <w:rFonts w:ascii="Times New Roman" w:hAnsi="Times New Roman" w:cs="Times New Roman"/>
          <w:color w:val="1C1E29"/>
          <w:sz w:val="24"/>
          <w:szCs w:val="24"/>
        </w:rPr>
        <w:t>On September 9, 2019, the PEI program received the Chairman’s Award from the White House Initiative on HBCUs at the 2019 National HBCU Week Conference. The award recognized the NIH’s efforts to strengthen HBCUs ability to equitably participate in federal programs, explore new ways to improve the relationship between the federal government and HBCUs and establish how each respective agency intends to increase the capacity of HBCUs to compete effectively for grants, contracts, and cooperative agreements. Notably, the WHIHBCU acknowledged the NIH’s implementation of the first NIH HBCU Industry Day on March 12, 2019. The event brought HBCUs, industry, and the NIH acquisition, grant, and program officials together to collaborate on best practices and form partnerships. Currently, there are six HBCU’s in our pilot program – Jackson State University, Howard University, Hampton University, Meharry School of Medicine, Morehouse School of Medicine, University of the Virgin Islands.</w:t>
      </w:r>
    </w:p>
    <w:p w14:paraId="3AEE7A35"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p>
    <w:p w14:paraId="69D32495"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r w:rsidRPr="00135FE0">
        <w:rPr>
          <w:rFonts w:ascii="Times New Roman" w:hAnsi="Times New Roman" w:cs="Times New Roman"/>
          <w:color w:val="1C1E29"/>
          <w:sz w:val="24"/>
          <w:szCs w:val="24"/>
        </w:rPr>
        <w:t>Moreover, former HHS Secretary Dr. Louis Wade Sullivan accepted the Lifetime Achievement Award for his leadership in minority health research and policy. The NIH Deputy Director, Lawrence A. Tabak, D.D.S., Ph.D., and Dr. Eliseo J. Perez-Stable, M.D., were in attendance to support these awards.</w:t>
      </w:r>
    </w:p>
    <w:p w14:paraId="642F6675"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p>
    <w:p w14:paraId="097A79CA" w14:textId="77777777" w:rsidR="00135FE0" w:rsidRPr="00135FE0" w:rsidRDefault="00135FE0" w:rsidP="00135FE0">
      <w:pPr>
        <w:pStyle w:val="NormalWeb"/>
        <w:spacing w:before="0" w:beforeAutospacing="0" w:after="0" w:afterAutospacing="0"/>
        <w:rPr>
          <w:rFonts w:ascii="Times New Roman" w:hAnsi="Times New Roman" w:cs="Times New Roman"/>
          <w:color w:val="1C1E29"/>
          <w:sz w:val="24"/>
          <w:szCs w:val="24"/>
        </w:rPr>
      </w:pPr>
      <w:r w:rsidRPr="00135FE0">
        <w:rPr>
          <w:rFonts w:ascii="Times New Roman" w:hAnsi="Times New Roman" w:cs="Times New Roman"/>
          <w:color w:val="1C1E29"/>
          <w:sz w:val="24"/>
          <w:szCs w:val="24"/>
        </w:rPr>
        <w:t xml:space="preserve">If your institute or center has programs about the infrastructure and/or training of HBCU administrators, please email </w:t>
      </w:r>
      <w:hyperlink r:id="rId13" w:history="1">
        <w:r w:rsidRPr="00135FE0">
          <w:rPr>
            <w:rStyle w:val="Hyperlink"/>
            <w:rFonts w:ascii="Times New Roman" w:hAnsi="Times New Roman" w:cs="Times New Roman"/>
            <w:sz w:val="24"/>
            <w:szCs w:val="24"/>
          </w:rPr>
          <w:t>NIHSmallBusiness@nih.gov</w:t>
        </w:r>
      </w:hyperlink>
      <w:r w:rsidRPr="00135FE0">
        <w:rPr>
          <w:rFonts w:ascii="Times New Roman" w:hAnsi="Times New Roman" w:cs="Times New Roman"/>
          <w:color w:val="1C1E29"/>
          <w:sz w:val="24"/>
          <w:szCs w:val="24"/>
        </w:rPr>
        <w:t xml:space="preserve">. </w:t>
      </w:r>
    </w:p>
    <w:p w14:paraId="3A9EE159" w14:textId="77777777" w:rsidR="00135FE0" w:rsidRPr="00AC6723" w:rsidRDefault="00135FE0" w:rsidP="00135FE0">
      <w:pPr>
        <w:pStyle w:val="NormalWeb"/>
        <w:spacing w:before="0" w:beforeAutospacing="0" w:after="0" w:afterAutospacing="0"/>
        <w:rPr>
          <w:color w:val="1C1E29"/>
        </w:rPr>
      </w:pPr>
    </w:p>
    <w:p w14:paraId="2AB1F6C8" w14:textId="77777777" w:rsidR="00C91BBD" w:rsidRPr="00473AD0" w:rsidRDefault="00C91BBD" w:rsidP="00C91BBD">
      <w:pPr>
        <w:keepNext/>
        <w:keepLines/>
        <w:spacing w:before="360" w:after="120" w:line="240" w:lineRule="auto"/>
        <w:outlineLvl w:val="0"/>
        <w:rPr>
          <w:rFonts w:ascii="Arial" w:hAnsi="Arial" w:cstheme="majorBidi"/>
          <w:b/>
          <w:bCs/>
          <w:caps/>
          <w:spacing w:val="4"/>
          <w:sz w:val="32"/>
          <w:szCs w:val="28"/>
        </w:rPr>
      </w:pPr>
      <w:r w:rsidRPr="00473AD0">
        <w:rPr>
          <w:rFonts w:ascii="Arial" w:hAnsi="Arial" w:cstheme="majorBidi"/>
          <w:b/>
          <w:bCs/>
          <w:caps/>
          <w:spacing w:val="4"/>
          <w:sz w:val="32"/>
          <w:szCs w:val="28"/>
        </w:rPr>
        <w:t>Recap Corner</w:t>
      </w:r>
    </w:p>
    <w:p w14:paraId="08551287" w14:textId="77777777" w:rsidR="00C91BBD" w:rsidRPr="00473AD0" w:rsidRDefault="00C91BBD" w:rsidP="00C91BBD">
      <w:pPr>
        <w:spacing w:after="120" w:line="240" w:lineRule="auto"/>
        <w:rPr>
          <w:rFonts w:eastAsia="Calibri"/>
        </w:rPr>
      </w:pPr>
      <w:r w:rsidRPr="00473AD0">
        <w:rPr>
          <w:rFonts w:eastAsia="Calibri"/>
        </w:rPr>
        <w:t>Below is a recap of recent OALM communications to the NIH acquisition workforce.</w:t>
      </w:r>
    </w:p>
    <w:tbl>
      <w:tblPr>
        <w:tblStyle w:val="TableGrid"/>
        <w:tblW w:w="10885" w:type="dxa"/>
        <w:jc w:val="center"/>
        <w:tblLayout w:type="fixed"/>
        <w:tblLook w:val="04A0" w:firstRow="1" w:lastRow="0" w:firstColumn="1" w:lastColumn="0" w:noHBand="0" w:noVBand="1"/>
      </w:tblPr>
      <w:tblGrid>
        <w:gridCol w:w="890"/>
        <w:gridCol w:w="3510"/>
        <w:gridCol w:w="1350"/>
        <w:gridCol w:w="5135"/>
      </w:tblGrid>
      <w:tr w:rsidR="00C91BBD" w:rsidRPr="00473AD0" w14:paraId="39609401" w14:textId="77777777" w:rsidTr="00C91BBD">
        <w:trPr>
          <w:trHeight w:val="310"/>
          <w:jc w:val="center"/>
        </w:trPr>
        <w:tc>
          <w:tcPr>
            <w:tcW w:w="890" w:type="dxa"/>
            <w:noWrap/>
            <w:hideMark/>
          </w:tcPr>
          <w:p w14:paraId="42B47D8A" w14:textId="77777777" w:rsidR="00C91BBD" w:rsidRPr="00473AD0" w:rsidRDefault="00C91BBD" w:rsidP="0058481E">
            <w:pPr>
              <w:spacing w:after="120"/>
            </w:pPr>
            <w:r w:rsidRPr="00473AD0">
              <w:t>ID</w:t>
            </w:r>
          </w:p>
        </w:tc>
        <w:tc>
          <w:tcPr>
            <w:tcW w:w="3510" w:type="dxa"/>
            <w:noWrap/>
            <w:hideMark/>
          </w:tcPr>
          <w:p w14:paraId="2140EF53" w14:textId="77777777" w:rsidR="00C91BBD" w:rsidRPr="00473AD0" w:rsidRDefault="00C91BBD" w:rsidP="0058481E">
            <w:pPr>
              <w:spacing w:after="120"/>
            </w:pPr>
            <w:r w:rsidRPr="00473AD0">
              <w:t>Title</w:t>
            </w:r>
          </w:p>
        </w:tc>
        <w:tc>
          <w:tcPr>
            <w:tcW w:w="1350" w:type="dxa"/>
            <w:noWrap/>
            <w:hideMark/>
          </w:tcPr>
          <w:p w14:paraId="532A14F9" w14:textId="77777777" w:rsidR="00C91BBD" w:rsidRPr="00473AD0" w:rsidRDefault="00C91BBD" w:rsidP="0058481E">
            <w:pPr>
              <w:spacing w:after="120"/>
            </w:pPr>
            <w:r w:rsidRPr="00473AD0">
              <w:t>Date</w:t>
            </w:r>
          </w:p>
        </w:tc>
        <w:tc>
          <w:tcPr>
            <w:tcW w:w="5135" w:type="dxa"/>
          </w:tcPr>
          <w:p w14:paraId="10737BC9" w14:textId="77777777" w:rsidR="00C91BBD" w:rsidRPr="00473AD0" w:rsidRDefault="00C91BBD" w:rsidP="0058481E">
            <w:pPr>
              <w:spacing w:after="120"/>
            </w:pPr>
            <w:r w:rsidRPr="00473AD0">
              <w:tab/>
              <w:t>Purpose</w:t>
            </w:r>
          </w:p>
        </w:tc>
      </w:tr>
      <w:tr w:rsidR="00C91BBD" w:rsidRPr="00473AD0" w14:paraId="78C9A977" w14:textId="77777777" w:rsidTr="00C91BBD">
        <w:trPr>
          <w:trHeight w:val="580"/>
          <w:jc w:val="center"/>
        </w:trPr>
        <w:tc>
          <w:tcPr>
            <w:tcW w:w="890" w:type="dxa"/>
            <w:noWrap/>
            <w:hideMark/>
          </w:tcPr>
          <w:p w14:paraId="491AB6DD" w14:textId="77777777" w:rsidR="00C91BBD" w:rsidRPr="00473AD0" w:rsidRDefault="00C91BBD" w:rsidP="0058481E">
            <w:pPr>
              <w:spacing w:after="120"/>
            </w:pPr>
            <w:r w:rsidRPr="00473AD0">
              <w:t>19-</w:t>
            </w:r>
            <w:r>
              <w:t>37</w:t>
            </w:r>
          </w:p>
        </w:tc>
        <w:tc>
          <w:tcPr>
            <w:tcW w:w="3510" w:type="dxa"/>
            <w:noWrap/>
            <w:hideMark/>
          </w:tcPr>
          <w:p w14:paraId="20E62796" w14:textId="77777777" w:rsidR="00C91BBD" w:rsidRPr="00473AD0" w:rsidRDefault="00C91BBD" w:rsidP="0058481E">
            <w:pPr>
              <w:spacing w:after="120"/>
            </w:pPr>
            <w:r w:rsidRPr="009647ED">
              <w:t>FY 2014 Canceling Year Lines</w:t>
            </w:r>
          </w:p>
        </w:tc>
        <w:tc>
          <w:tcPr>
            <w:tcW w:w="1350" w:type="dxa"/>
            <w:noWrap/>
          </w:tcPr>
          <w:p w14:paraId="38895D2A" w14:textId="77777777" w:rsidR="00C91BBD" w:rsidRPr="00473AD0" w:rsidRDefault="00C91BBD" w:rsidP="0058481E">
            <w:pPr>
              <w:spacing w:after="120"/>
            </w:pPr>
            <w:r>
              <w:t>5/13/2019</w:t>
            </w:r>
          </w:p>
        </w:tc>
        <w:tc>
          <w:tcPr>
            <w:tcW w:w="5135" w:type="dxa"/>
          </w:tcPr>
          <w:p w14:paraId="08C7EC87" w14:textId="77777777" w:rsidR="00C91BBD" w:rsidRPr="00473AD0" w:rsidRDefault="00C91BBD" w:rsidP="0058481E">
            <w:pPr>
              <w:spacing w:after="120"/>
            </w:pPr>
            <w:r>
              <w:t xml:space="preserve">Provide update on canceling </w:t>
            </w:r>
            <w:proofErr w:type="gramStart"/>
            <w:r>
              <w:t>2014 year</w:t>
            </w:r>
            <w:proofErr w:type="gramEnd"/>
            <w:r>
              <w:t xml:space="preserve"> lines</w:t>
            </w:r>
          </w:p>
        </w:tc>
      </w:tr>
      <w:tr w:rsidR="00C91BBD" w:rsidRPr="00473AD0" w14:paraId="6D5D3F55" w14:textId="77777777" w:rsidTr="00C91BBD">
        <w:trPr>
          <w:trHeight w:val="1727"/>
          <w:jc w:val="center"/>
        </w:trPr>
        <w:tc>
          <w:tcPr>
            <w:tcW w:w="890" w:type="dxa"/>
            <w:noWrap/>
            <w:hideMark/>
          </w:tcPr>
          <w:p w14:paraId="6B7743CC" w14:textId="77777777" w:rsidR="00C91BBD" w:rsidRPr="00473AD0" w:rsidRDefault="00C91BBD" w:rsidP="0058481E">
            <w:pPr>
              <w:spacing w:after="120"/>
            </w:pPr>
            <w:r w:rsidRPr="00473AD0">
              <w:t>19-</w:t>
            </w:r>
            <w:r>
              <w:t>3</w:t>
            </w:r>
            <w:r w:rsidRPr="00473AD0">
              <w:t>8</w:t>
            </w:r>
          </w:p>
        </w:tc>
        <w:tc>
          <w:tcPr>
            <w:tcW w:w="3510" w:type="dxa"/>
            <w:noWrap/>
            <w:hideMark/>
          </w:tcPr>
          <w:p w14:paraId="5970D5D4" w14:textId="77777777" w:rsidR="00C91BBD" w:rsidRPr="00047A91" w:rsidRDefault="00C91BBD" w:rsidP="0058481E">
            <w:pPr>
              <w:spacing w:after="120"/>
              <w:jc w:val="left"/>
              <w:rPr>
                <w:rFonts w:cs="Times New Roman"/>
                <w:szCs w:val="24"/>
              </w:rPr>
            </w:pPr>
            <w:proofErr w:type="spellStart"/>
            <w:r w:rsidRPr="00047A91">
              <w:rPr>
                <w:rFonts w:cs="Times New Roman"/>
                <w:color w:val="000000"/>
                <w:szCs w:val="24"/>
              </w:rPr>
              <w:t>FedDataCheck</w:t>
            </w:r>
            <w:proofErr w:type="spellEnd"/>
            <w:r w:rsidRPr="00047A91">
              <w:rPr>
                <w:rFonts w:cs="Times New Roman"/>
                <w:color w:val="000000"/>
                <w:szCs w:val="24"/>
              </w:rPr>
              <w:t xml:space="preserve"> Webinar - Miscoding the new FPDS-NG Item 6T - Inherently Governmental Functions</w:t>
            </w:r>
          </w:p>
        </w:tc>
        <w:tc>
          <w:tcPr>
            <w:tcW w:w="1350" w:type="dxa"/>
            <w:noWrap/>
          </w:tcPr>
          <w:p w14:paraId="58C8156F" w14:textId="77777777" w:rsidR="00C91BBD" w:rsidRPr="00473AD0" w:rsidRDefault="00C91BBD" w:rsidP="0058481E">
            <w:pPr>
              <w:spacing w:after="120"/>
            </w:pPr>
            <w:r>
              <w:t>5/14/2019</w:t>
            </w:r>
          </w:p>
        </w:tc>
        <w:tc>
          <w:tcPr>
            <w:tcW w:w="5135" w:type="dxa"/>
          </w:tcPr>
          <w:p w14:paraId="0EEB20FD" w14:textId="77777777" w:rsidR="00C91BBD" w:rsidRPr="00473AD0" w:rsidRDefault="00C91BBD" w:rsidP="0058481E">
            <w:pPr>
              <w:spacing w:after="120"/>
              <w:jc w:val="left"/>
            </w:pPr>
            <w:proofErr w:type="spellStart"/>
            <w:r w:rsidRPr="00047A91">
              <w:t>FedDataCheck</w:t>
            </w:r>
            <w:proofErr w:type="spellEnd"/>
            <w:r w:rsidRPr="00047A91">
              <w:t xml:space="preserve"> (FDC) Alert 141 identifies actions where FPDS Item 6T Inherently Governmental Functions (IGF) and Item 8A Product or Service Code (PSC) conflict. Item 6T Inherently Governmental Functions is only required on actions with a PSC as a ‘Service’ (PSCs which begin with an “ALPHA”). The number of FY19 actions by ICs is listed below.</w:t>
            </w:r>
          </w:p>
        </w:tc>
      </w:tr>
      <w:tr w:rsidR="00C91BBD" w:rsidRPr="00473AD0" w14:paraId="40E5CEB6" w14:textId="77777777" w:rsidTr="00C91BBD">
        <w:trPr>
          <w:trHeight w:val="755"/>
          <w:jc w:val="center"/>
        </w:trPr>
        <w:tc>
          <w:tcPr>
            <w:tcW w:w="890" w:type="dxa"/>
            <w:noWrap/>
            <w:hideMark/>
          </w:tcPr>
          <w:p w14:paraId="2D538D47" w14:textId="77777777" w:rsidR="00C91BBD" w:rsidRPr="00473AD0" w:rsidRDefault="00C91BBD" w:rsidP="0058481E">
            <w:pPr>
              <w:spacing w:after="120"/>
            </w:pPr>
            <w:r w:rsidRPr="00473AD0">
              <w:t>19-</w:t>
            </w:r>
            <w:r>
              <w:t>3</w:t>
            </w:r>
            <w:r w:rsidRPr="00473AD0">
              <w:t>9</w:t>
            </w:r>
          </w:p>
        </w:tc>
        <w:tc>
          <w:tcPr>
            <w:tcW w:w="3510" w:type="dxa"/>
            <w:noWrap/>
            <w:hideMark/>
          </w:tcPr>
          <w:p w14:paraId="795F97C2" w14:textId="77777777" w:rsidR="00C91BBD" w:rsidRPr="00013D34" w:rsidRDefault="00C91BBD" w:rsidP="0058481E">
            <w:pPr>
              <w:spacing w:after="120"/>
              <w:jc w:val="left"/>
            </w:pPr>
            <w:r w:rsidRPr="00013D34">
              <w:t xml:space="preserve">NEW SharePoint Site for DCIS, CPARS, and </w:t>
            </w:r>
            <w:proofErr w:type="spellStart"/>
            <w:r w:rsidRPr="00013D34">
              <w:t>FedDataCheck</w:t>
            </w:r>
            <w:proofErr w:type="spellEnd"/>
            <w:r w:rsidRPr="00013D34">
              <w:t xml:space="preserve"> - </w:t>
            </w:r>
          </w:p>
          <w:p w14:paraId="634DEBCE" w14:textId="77777777" w:rsidR="00C91BBD" w:rsidRPr="00473AD0" w:rsidRDefault="00C91BBD" w:rsidP="0058481E">
            <w:pPr>
              <w:spacing w:after="120"/>
              <w:jc w:val="left"/>
            </w:pPr>
          </w:p>
        </w:tc>
        <w:tc>
          <w:tcPr>
            <w:tcW w:w="1350" w:type="dxa"/>
            <w:noWrap/>
          </w:tcPr>
          <w:p w14:paraId="3F5C2144" w14:textId="77777777" w:rsidR="00C91BBD" w:rsidRPr="00473AD0" w:rsidRDefault="00C91BBD" w:rsidP="0058481E">
            <w:pPr>
              <w:spacing w:after="120"/>
            </w:pPr>
            <w:r>
              <w:t>5/14/2019</w:t>
            </w:r>
          </w:p>
        </w:tc>
        <w:tc>
          <w:tcPr>
            <w:tcW w:w="5135" w:type="dxa"/>
          </w:tcPr>
          <w:p w14:paraId="4C7508F7" w14:textId="77777777" w:rsidR="00C91BBD" w:rsidRPr="00473AD0" w:rsidRDefault="00C91BBD" w:rsidP="0058481E">
            <w:pPr>
              <w:spacing w:after="120"/>
            </w:pPr>
            <w:r>
              <w:t xml:space="preserve">Provide New SharePoint Site for DCIS, CPAR, and </w:t>
            </w:r>
            <w:proofErr w:type="spellStart"/>
            <w:r>
              <w:t>FedDataCheck</w:t>
            </w:r>
            <w:proofErr w:type="spellEnd"/>
          </w:p>
        </w:tc>
      </w:tr>
      <w:tr w:rsidR="00C91BBD" w:rsidRPr="00473AD0" w14:paraId="0B22F7C2" w14:textId="77777777" w:rsidTr="00C91BBD">
        <w:trPr>
          <w:trHeight w:val="290"/>
          <w:jc w:val="center"/>
        </w:trPr>
        <w:tc>
          <w:tcPr>
            <w:tcW w:w="890" w:type="dxa"/>
            <w:noWrap/>
            <w:hideMark/>
          </w:tcPr>
          <w:p w14:paraId="4B37F3EF" w14:textId="77777777" w:rsidR="00C91BBD" w:rsidRPr="00473AD0" w:rsidRDefault="00C91BBD" w:rsidP="0058481E">
            <w:pPr>
              <w:spacing w:after="120"/>
            </w:pPr>
            <w:r w:rsidRPr="00473AD0">
              <w:lastRenderedPageBreak/>
              <w:t>19-</w:t>
            </w:r>
            <w:r>
              <w:t>4</w:t>
            </w:r>
            <w:r w:rsidRPr="00473AD0">
              <w:t>0</w:t>
            </w:r>
          </w:p>
        </w:tc>
        <w:tc>
          <w:tcPr>
            <w:tcW w:w="3510" w:type="dxa"/>
            <w:noWrap/>
            <w:hideMark/>
          </w:tcPr>
          <w:p w14:paraId="3C95ED2B" w14:textId="77777777" w:rsidR="00C91BBD" w:rsidRPr="00473AD0" w:rsidRDefault="00C91BBD" w:rsidP="00EB594B">
            <w:pPr>
              <w:spacing w:after="120"/>
              <w:jc w:val="left"/>
            </w:pPr>
            <w:proofErr w:type="spellStart"/>
            <w:r w:rsidRPr="00013D34">
              <w:t>FedDataCheck</w:t>
            </w:r>
            <w:proofErr w:type="spellEnd"/>
            <w:r w:rsidRPr="00013D34">
              <w:t xml:space="preserve"> Webinar - Commercial Item Acquisition Procedures - Expanding Universes and Inconsistent Coding</w:t>
            </w:r>
          </w:p>
        </w:tc>
        <w:tc>
          <w:tcPr>
            <w:tcW w:w="1350" w:type="dxa"/>
            <w:noWrap/>
          </w:tcPr>
          <w:p w14:paraId="5EB86030" w14:textId="77777777" w:rsidR="00C91BBD" w:rsidRPr="00473AD0" w:rsidRDefault="00C91BBD" w:rsidP="0058481E">
            <w:pPr>
              <w:spacing w:after="120"/>
            </w:pPr>
            <w:r>
              <w:t>5/28/2019</w:t>
            </w:r>
          </w:p>
        </w:tc>
        <w:tc>
          <w:tcPr>
            <w:tcW w:w="5135" w:type="dxa"/>
          </w:tcPr>
          <w:p w14:paraId="624EFBE9" w14:textId="77777777" w:rsidR="00C91BBD" w:rsidRPr="00473AD0" w:rsidRDefault="00C91BBD" w:rsidP="00EB594B">
            <w:pPr>
              <w:spacing w:after="120"/>
              <w:jc w:val="left"/>
            </w:pPr>
            <w:r>
              <w:t xml:space="preserve">Provide </w:t>
            </w:r>
            <w:proofErr w:type="spellStart"/>
            <w:r>
              <w:t>FedDataCheck</w:t>
            </w:r>
            <w:proofErr w:type="spellEnd"/>
            <w:r>
              <w:t xml:space="preserve"> Webinar information</w:t>
            </w:r>
          </w:p>
        </w:tc>
      </w:tr>
      <w:tr w:rsidR="00C91BBD" w:rsidRPr="00473AD0" w14:paraId="70935477" w14:textId="77777777" w:rsidTr="00C91BBD">
        <w:trPr>
          <w:trHeight w:val="580"/>
          <w:jc w:val="center"/>
        </w:trPr>
        <w:tc>
          <w:tcPr>
            <w:tcW w:w="890" w:type="dxa"/>
            <w:noWrap/>
            <w:hideMark/>
          </w:tcPr>
          <w:p w14:paraId="57878659" w14:textId="77777777" w:rsidR="00C91BBD" w:rsidRPr="00473AD0" w:rsidRDefault="00C91BBD" w:rsidP="0058481E">
            <w:pPr>
              <w:spacing w:after="120"/>
            </w:pPr>
            <w:r w:rsidRPr="00473AD0">
              <w:t>19-</w:t>
            </w:r>
            <w:r>
              <w:t>4</w:t>
            </w:r>
            <w:r w:rsidRPr="00473AD0">
              <w:t>1</w:t>
            </w:r>
          </w:p>
        </w:tc>
        <w:tc>
          <w:tcPr>
            <w:tcW w:w="3510" w:type="dxa"/>
            <w:noWrap/>
          </w:tcPr>
          <w:p w14:paraId="0539D901" w14:textId="77777777" w:rsidR="00C91BBD" w:rsidRPr="00473AD0" w:rsidRDefault="00C91BBD" w:rsidP="00EB594B">
            <w:pPr>
              <w:spacing w:after="120"/>
              <w:jc w:val="left"/>
            </w:pPr>
            <w:r w:rsidRPr="00013D34">
              <w:t>FY18 Independent Validation and Verification (IV&amp;V) Results</w:t>
            </w:r>
          </w:p>
        </w:tc>
        <w:tc>
          <w:tcPr>
            <w:tcW w:w="1350" w:type="dxa"/>
            <w:noWrap/>
          </w:tcPr>
          <w:p w14:paraId="1746B895" w14:textId="77777777" w:rsidR="00C91BBD" w:rsidRPr="00473AD0" w:rsidRDefault="00C91BBD" w:rsidP="0058481E">
            <w:pPr>
              <w:spacing w:after="120"/>
            </w:pPr>
            <w:r>
              <w:t>5/28/2019</w:t>
            </w:r>
          </w:p>
        </w:tc>
        <w:tc>
          <w:tcPr>
            <w:tcW w:w="5135" w:type="dxa"/>
          </w:tcPr>
          <w:p w14:paraId="0F23EEF8" w14:textId="77777777" w:rsidR="00C91BBD" w:rsidRPr="00473AD0" w:rsidRDefault="00C91BBD" w:rsidP="00EB594B">
            <w:pPr>
              <w:spacing w:after="120"/>
              <w:jc w:val="left"/>
            </w:pPr>
            <w:r>
              <w:t>Provide FY18 Independent Validation and Verification Results</w:t>
            </w:r>
          </w:p>
        </w:tc>
      </w:tr>
      <w:tr w:rsidR="00C91BBD" w:rsidRPr="00473AD0" w14:paraId="11BF4E75" w14:textId="77777777" w:rsidTr="00C91BBD">
        <w:trPr>
          <w:trHeight w:val="290"/>
          <w:jc w:val="center"/>
        </w:trPr>
        <w:tc>
          <w:tcPr>
            <w:tcW w:w="890" w:type="dxa"/>
            <w:noWrap/>
            <w:hideMark/>
          </w:tcPr>
          <w:p w14:paraId="5F1C5828" w14:textId="77777777" w:rsidR="00C91BBD" w:rsidRPr="00473AD0" w:rsidRDefault="00C91BBD" w:rsidP="0058481E">
            <w:pPr>
              <w:spacing w:after="120"/>
            </w:pPr>
            <w:r w:rsidRPr="00473AD0">
              <w:t>19-</w:t>
            </w:r>
            <w:r>
              <w:t>4</w:t>
            </w:r>
            <w:r w:rsidRPr="00473AD0">
              <w:t>2</w:t>
            </w:r>
          </w:p>
        </w:tc>
        <w:tc>
          <w:tcPr>
            <w:tcW w:w="3510" w:type="dxa"/>
            <w:noWrap/>
            <w:hideMark/>
          </w:tcPr>
          <w:p w14:paraId="5D6EEB58" w14:textId="77777777" w:rsidR="00C91BBD" w:rsidRPr="00473AD0" w:rsidRDefault="00C91BBD" w:rsidP="00EB594B">
            <w:pPr>
              <w:spacing w:after="120"/>
              <w:jc w:val="left"/>
            </w:pPr>
            <w:r w:rsidRPr="00013D34">
              <w:t>FPDS Downtime for Production Maintenance</w:t>
            </w:r>
          </w:p>
        </w:tc>
        <w:tc>
          <w:tcPr>
            <w:tcW w:w="1350" w:type="dxa"/>
            <w:noWrap/>
          </w:tcPr>
          <w:p w14:paraId="03476FA1" w14:textId="77777777" w:rsidR="00C91BBD" w:rsidRPr="00473AD0" w:rsidRDefault="00C91BBD" w:rsidP="0058481E">
            <w:pPr>
              <w:spacing w:after="120"/>
            </w:pPr>
            <w:r>
              <w:t>5/30/2019</w:t>
            </w:r>
          </w:p>
        </w:tc>
        <w:tc>
          <w:tcPr>
            <w:tcW w:w="5135" w:type="dxa"/>
          </w:tcPr>
          <w:p w14:paraId="6692331A" w14:textId="77777777" w:rsidR="00C91BBD" w:rsidRPr="00473AD0" w:rsidRDefault="00C91BBD" w:rsidP="00EB594B">
            <w:pPr>
              <w:spacing w:after="120"/>
              <w:jc w:val="left"/>
            </w:pPr>
            <w:r>
              <w:t>FPDS Maintenance</w:t>
            </w:r>
          </w:p>
        </w:tc>
      </w:tr>
      <w:tr w:rsidR="00C91BBD" w:rsidRPr="00473AD0" w14:paraId="465ECF90" w14:textId="77777777" w:rsidTr="00C91BBD">
        <w:trPr>
          <w:trHeight w:val="290"/>
          <w:jc w:val="center"/>
        </w:trPr>
        <w:tc>
          <w:tcPr>
            <w:tcW w:w="890" w:type="dxa"/>
            <w:noWrap/>
            <w:hideMark/>
          </w:tcPr>
          <w:p w14:paraId="73319918" w14:textId="77777777" w:rsidR="00C91BBD" w:rsidRPr="00473AD0" w:rsidRDefault="00C91BBD" w:rsidP="0058481E">
            <w:pPr>
              <w:spacing w:after="120"/>
            </w:pPr>
            <w:r w:rsidRPr="00473AD0">
              <w:t>19-</w:t>
            </w:r>
            <w:r>
              <w:t>4</w:t>
            </w:r>
            <w:r w:rsidRPr="00473AD0">
              <w:t>3</w:t>
            </w:r>
          </w:p>
        </w:tc>
        <w:tc>
          <w:tcPr>
            <w:tcW w:w="3510" w:type="dxa"/>
            <w:noWrap/>
            <w:hideMark/>
          </w:tcPr>
          <w:p w14:paraId="50CB2F92" w14:textId="77777777" w:rsidR="00C91BBD" w:rsidRPr="00473AD0" w:rsidRDefault="00C91BBD" w:rsidP="00EB594B">
            <w:pPr>
              <w:spacing w:after="120"/>
              <w:jc w:val="left"/>
            </w:pPr>
            <w:r w:rsidRPr="00013D34">
              <w:t>FPDS validation has been reinstated</w:t>
            </w:r>
          </w:p>
        </w:tc>
        <w:tc>
          <w:tcPr>
            <w:tcW w:w="1350" w:type="dxa"/>
            <w:noWrap/>
          </w:tcPr>
          <w:p w14:paraId="1DECC5A3" w14:textId="77777777" w:rsidR="00C91BBD" w:rsidRPr="00473AD0" w:rsidRDefault="00C91BBD" w:rsidP="0058481E">
            <w:pPr>
              <w:spacing w:after="120"/>
            </w:pPr>
            <w:r>
              <w:t>6/3/2019</w:t>
            </w:r>
          </w:p>
        </w:tc>
        <w:tc>
          <w:tcPr>
            <w:tcW w:w="5135" w:type="dxa"/>
          </w:tcPr>
          <w:p w14:paraId="1F66D0A3" w14:textId="77777777" w:rsidR="00C91BBD" w:rsidRPr="00473AD0" w:rsidRDefault="00C91BBD" w:rsidP="00EB594B">
            <w:pPr>
              <w:spacing w:after="120"/>
              <w:jc w:val="left"/>
            </w:pPr>
            <w:r>
              <w:t>Reinstatement of FPDS validation</w:t>
            </w:r>
          </w:p>
        </w:tc>
      </w:tr>
      <w:tr w:rsidR="00C91BBD" w:rsidRPr="00473AD0" w14:paraId="1AA93266" w14:textId="77777777" w:rsidTr="00C91BBD">
        <w:trPr>
          <w:trHeight w:val="290"/>
          <w:jc w:val="center"/>
        </w:trPr>
        <w:tc>
          <w:tcPr>
            <w:tcW w:w="890" w:type="dxa"/>
            <w:noWrap/>
            <w:hideMark/>
          </w:tcPr>
          <w:p w14:paraId="3E4D92B1" w14:textId="77777777" w:rsidR="00C91BBD" w:rsidRPr="00473AD0" w:rsidRDefault="00C91BBD" w:rsidP="0058481E">
            <w:pPr>
              <w:spacing w:after="120"/>
            </w:pPr>
            <w:r w:rsidRPr="00473AD0">
              <w:t>19-</w:t>
            </w:r>
            <w:r>
              <w:t>4</w:t>
            </w:r>
            <w:r w:rsidRPr="00473AD0">
              <w:t>4</w:t>
            </w:r>
          </w:p>
        </w:tc>
        <w:tc>
          <w:tcPr>
            <w:tcW w:w="3510" w:type="dxa"/>
            <w:noWrap/>
            <w:hideMark/>
          </w:tcPr>
          <w:p w14:paraId="41015FCD" w14:textId="77777777" w:rsidR="00C91BBD" w:rsidRPr="00473AD0" w:rsidRDefault="00C91BBD" w:rsidP="00EB594B">
            <w:pPr>
              <w:spacing w:after="120"/>
              <w:jc w:val="left"/>
            </w:pPr>
            <w:r w:rsidRPr="00013D34">
              <w:t>Awards not Reported to FPDS/DCIS on Friday, May 31, 2019</w:t>
            </w:r>
          </w:p>
        </w:tc>
        <w:tc>
          <w:tcPr>
            <w:tcW w:w="1350" w:type="dxa"/>
            <w:noWrap/>
          </w:tcPr>
          <w:p w14:paraId="6CC50A98" w14:textId="77777777" w:rsidR="00C91BBD" w:rsidRPr="00473AD0" w:rsidRDefault="00C91BBD" w:rsidP="0058481E">
            <w:pPr>
              <w:spacing w:after="120"/>
            </w:pPr>
            <w:r>
              <w:t>6/3/2019</w:t>
            </w:r>
          </w:p>
        </w:tc>
        <w:tc>
          <w:tcPr>
            <w:tcW w:w="5135" w:type="dxa"/>
          </w:tcPr>
          <w:p w14:paraId="5E34623A" w14:textId="77777777" w:rsidR="00C91BBD" w:rsidRPr="00473AD0" w:rsidRDefault="00C91BBD" w:rsidP="00EB594B">
            <w:pPr>
              <w:spacing w:after="120"/>
              <w:jc w:val="left"/>
            </w:pPr>
            <w:r>
              <w:t>Provide awards not reported to FPDS/DCIS on May 31, 2019</w:t>
            </w:r>
          </w:p>
        </w:tc>
      </w:tr>
      <w:tr w:rsidR="00C91BBD" w:rsidRPr="00473AD0" w14:paraId="6A5347DE" w14:textId="77777777" w:rsidTr="00C91BBD">
        <w:trPr>
          <w:trHeight w:val="290"/>
          <w:jc w:val="center"/>
        </w:trPr>
        <w:tc>
          <w:tcPr>
            <w:tcW w:w="890" w:type="dxa"/>
            <w:noWrap/>
            <w:hideMark/>
          </w:tcPr>
          <w:p w14:paraId="67FF3909" w14:textId="77777777" w:rsidR="00C91BBD" w:rsidRPr="00473AD0" w:rsidRDefault="00C91BBD" w:rsidP="0058481E">
            <w:pPr>
              <w:spacing w:after="120"/>
            </w:pPr>
            <w:r w:rsidRPr="00473AD0">
              <w:t>19-</w:t>
            </w:r>
            <w:r>
              <w:t>4</w:t>
            </w:r>
            <w:r w:rsidRPr="00473AD0">
              <w:t>5</w:t>
            </w:r>
          </w:p>
        </w:tc>
        <w:tc>
          <w:tcPr>
            <w:tcW w:w="3510" w:type="dxa"/>
            <w:noWrap/>
            <w:hideMark/>
          </w:tcPr>
          <w:p w14:paraId="453C0122" w14:textId="77777777" w:rsidR="00C91BBD" w:rsidRPr="00473AD0" w:rsidRDefault="00C91BBD" w:rsidP="00EB594B">
            <w:pPr>
              <w:spacing w:after="120"/>
              <w:jc w:val="left"/>
            </w:pPr>
            <w:r w:rsidRPr="00013D34">
              <w:t>Execution of NBS PO Final Close Program on FY 2014 Canceling Year Funds</w:t>
            </w:r>
          </w:p>
        </w:tc>
        <w:tc>
          <w:tcPr>
            <w:tcW w:w="1350" w:type="dxa"/>
            <w:noWrap/>
          </w:tcPr>
          <w:p w14:paraId="2A0460A7" w14:textId="77777777" w:rsidR="00C91BBD" w:rsidRPr="00473AD0" w:rsidRDefault="00C91BBD" w:rsidP="0058481E">
            <w:pPr>
              <w:spacing w:after="120"/>
            </w:pPr>
            <w:r>
              <w:t>6/10/2019</w:t>
            </w:r>
          </w:p>
        </w:tc>
        <w:tc>
          <w:tcPr>
            <w:tcW w:w="5135" w:type="dxa"/>
          </w:tcPr>
          <w:p w14:paraId="04FC9E58" w14:textId="77777777" w:rsidR="00C91BBD" w:rsidRPr="00473AD0" w:rsidRDefault="00C91BBD" w:rsidP="00EB594B">
            <w:pPr>
              <w:spacing w:after="120"/>
              <w:jc w:val="left"/>
            </w:pPr>
            <w:r>
              <w:t>Provide executive of NBS PO Final Close Program on FY2014 Canceling Year Funds</w:t>
            </w:r>
          </w:p>
        </w:tc>
      </w:tr>
      <w:tr w:rsidR="00C91BBD" w:rsidRPr="00473AD0" w14:paraId="637F2E82" w14:textId="77777777" w:rsidTr="00C91BBD">
        <w:trPr>
          <w:trHeight w:val="290"/>
          <w:jc w:val="center"/>
        </w:trPr>
        <w:tc>
          <w:tcPr>
            <w:tcW w:w="890" w:type="dxa"/>
            <w:noWrap/>
            <w:hideMark/>
          </w:tcPr>
          <w:p w14:paraId="17F90ECE" w14:textId="77777777" w:rsidR="00C91BBD" w:rsidRPr="00473AD0" w:rsidRDefault="00C91BBD" w:rsidP="0058481E">
            <w:pPr>
              <w:spacing w:after="120"/>
            </w:pPr>
            <w:r w:rsidRPr="00473AD0">
              <w:t>19-</w:t>
            </w:r>
            <w:r>
              <w:t>4</w:t>
            </w:r>
            <w:r w:rsidRPr="00473AD0">
              <w:t>6</w:t>
            </w:r>
          </w:p>
        </w:tc>
        <w:tc>
          <w:tcPr>
            <w:tcW w:w="3510" w:type="dxa"/>
            <w:noWrap/>
            <w:hideMark/>
          </w:tcPr>
          <w:p w14:paraId="48B9B1AD" w14:textId="77777777" w:rsidR="00C91BBD" w:rsidRPr="00473AD0" w:rsidRDefault="00C91BBD" w:rsidP="00EB594B">
            <w:pPr>
              <w:spacing w:after="120"/>
              <w:jc w:val="left"/>
            </w:pPr>
            <w:r w:rsidRPr="00013D34">
              <w:t xml:space="preserve">DCIS Data Corrections - </w:t>
            </w:r>
            <w:proofErr w:type="spellStart"/>
            <w:r w:rsidRPr="00013D34">
              <w:t>FedDataCheck</w:t>
            </w:r>
            <w:proofErr w:type="spellEnd"/>
            <w:r w:rsidRPr="00013D34">
              <w:t xml:space="preserve"> 123 Alert Email Tip</w:t>
            </w:r>
          </w:p>
        </w:tc>
        <w:tc>
          <w:tcPr>
            <w:tcW w:w="1350" w:type="dxa"/>
            <w:noWrap/>
          </w:tcPr>
          <w:p w14:paraId="16E22692" w14:textId="77777777" w:rsidR="00C91BBD" w:rsidRPr="00473AD0" w:rsidRDefault="00C91BBD" w:rsidP="0058481E">
            <w:pPr>
              <w:spacing w:after="120"/>
            </w:pPr>
            <w:r>
              <w:t>6/14/2019</w:t>
            </w:r>
          </w:p>
        </w:tc>
        <w:tc>
          <w:tcPr>
            <w:tcW w:w="5135" w:type="dxa"/>
          </w:tcPr>
          <w:p w14:paraId="7CEE7804" w14:textId="77777777" w:rsidR="00C91BBD" w:rsidRPr="00473AD0" w:rsidRDefault="00C91BBD" w:rsidP="00EB594B">
            <w:pPr>
              <w:spacing w:after="120"/>
              <w:jc w:val="left"/>
            </w:pPr>
            <w:r>
              <w:t>Provide DCIS Data Corrections</w:t>
            </w:r>
          </w:p>
        </w:tc>
      </w:tr>
      <w:tr w:rsidR="00C91BBD" w:rsidRPr="00473AD0" w14:paraId="709E2AD5" w14:textId="77777777" w:rsidTr="00C91BBD">
        <w:trPr>
          <w:trHeight w:val="290"/>
          <w:jc w:val="center"/>
        </w:trPr>
        <w:tc>
          <w:tcPr>
            <w:tcW w:w="890" w:type="dxa"/>
            <w:noWrap/>
          </w:tcPr>
          <w:p w14:paraId="21281136" w14:textId="77777777" w:rsidR="00C91BBD" w:rsidRPr="00473AD0" w:rsidRDefault="00C91BBD" w:rsidP="0058481E">
            <w:pPr>
              <w:spacing w:after="120"/>
            </w:pPr>
            <w:r>
              <w:t>19-47</w:t>
            </w:r>
          </w:p>
        </w:tc>
        <w:tc>
          <w:tcPr>
            <w:tcW w:w="3510" w:type="dxa"/>
            <w:noWrap/>
          </w:tcPr>
          <w:p w14:paraId="1929123F" w14:textId="77777777" w:rsidR="00C91BBD" w:rsidRPr="00473AD0" w:rsidRDefault="00C91BBD" w:rsidP="00EB594B">
            <w:pPr>
              <w:spacing w:after="120"/>
              <w:jc w:val="left"/>
            </w:pPr>
            <w:proofErr w:type="spellStart"/>
            <w:r w:rsidRPr="00013D34">
              <w:t>FedDataCheck</w:t>
            </w:r>
            <w:proofErr w:type="spellEnd"/>
            <w:r w:rsidRPr="00013D34">
              <w:t xml:space="preserve"> Webinar -- – Linking FPDS-NG to Sub-Awards and their corresponding Highly Compensated Officers  </w:t>
            </w:r>
          </w:p>
        </w:tc>
        <w:tc>
          <w:tcPr>
            <w:tcW w:w="1350" w:type="dxa"/>
            <w:noWrap/>
          </w:tcPr>
          <w:p w14:paraId="57ADB541" w14:textId="77777777" w:rsidR="00C91BBD" w:rsidRPr="00473AD0" w:rsidRDefault="00C91BBD" w:rsidP="0058481E">
            <w:pPr>
              <w:spacing w:after="120"/>
            </w:pPr>
            <w:r>
              <w:t>6/17/2019</w:t>
            </w:r>
          </w:p>
        </w:tc>
        <w:tc>
          <w:tcPr>
            <w:tcW w:w="5135" w:type="dxa"/>
          </w:tcPr>
          <w:p w14:paraId="3E0F6B8F" w14:textId="77777777" w:rsidR="00C91BBD" w:rsidRPr="00473AD0" w:rsidRDefault="00C91BBD" w:rsidP="00EB594B">
            <w:pPr>
              <w:spacing w:after="120"/>
              <w:jc w:val="left"/>
            </w:pPr>
            <w:r>
              <w:t xml:space="preserve">Provide </w:t>
            </w:r>
            <w:proofErr w:type="spellStart"/>
            <w:r>
              <w:t>FedDataCheck</w:t>
            </w:r>
            <w:proofErr w:type="spellEnd"/>
            <w:r>
              <w:t xml:space="preserve"> Webinar </w:t>
            </w:r>
          </w:p>
        </w:tc>
      </w:tr>
      <w:tr w:rsidR="00C91BBD" w:rsidRPr="00473AD0" w14:paraId="1F66BCDA" w14:textId="77777777" w:rsidTr="00C91BBD">
        <w:trPr>
          <w:trHeight w:val="485"/>
          <w:jc w:val="center"/>
        </w:trPr>
        <w:tc>
          <w:tcPr>
            <w:tcW w:w="890" w:type="dxa"/>
            <w:noWrap/>
          </w:tcPr>
          <w:p w14:paraId="7EDE1E11" w14:textId="77777777" w:rsidR="00C91BBD" w:rsidRPr="00473AD0" w:rsidRDefault="00C91BBD" w:rsidP="0058481E">
            <w:pPr>
              <w:spacing w:after="120"/>
            </w:pPr>
            <w:r>
              <w:t>19-48</w:t>
            </w:r>
          </w:p>
        </w:tc>
        <w:tc>
          <w:tcPr>
            <w:tcW w:w="3510" w:type="dxa"/>
            <w:noWrap/>
          </w:tcPr>
          <w:p w14:paraId="2A347993" w14:textId="77777777" w:rsidR="00C91BBD" w:rsidRPr="00473AD0" w:rsidRDefault="00C91BBD" w:rsidP="00EB594B">
            <w:pPr>
              <w:spacing w:after="120"/>
              <w:jc w:val="left"/>
            </w:pPr>
            <w:r w:rsidRPr="00D8370E">
              <w:t>FY 2014 Canceling Year Lines &amp; NBS Automated Close Program Run of June 21</w:t>
            </w:r>
          </w:p>
        </w:tc>
        <w:tc>
          <w:tcPr>
            <w:tcW w:w="1350" w:type="dxa"/>
            <w:noWrap/>
          </w:tcPr>
          <w:p w14:paraId="3A28B892" w14:textId="77777777" w:rsidR="00C91BBD" w:rsidRPr="00473AD0" w:rsidRDefault="00C91BBD" w:rsidP="0058481E">
            <w:pPr>
              <w:spacing w:after="120"/>
            </w:pPr>
            <w:r>
              <w:t>6/27/2019</w:t>
            </w:r>
          </w:p>
        </w:tc>
        <w:tc>
          <w:tcPr>
            <w:tcW w:w="5135" w:type="dxa"/>
          </w:tcPr>
          <w:p w14:paraId="473D8D69" w14:textId="77777777" w:rsidR="00C91BBD" w:rsidRPr="00473AD0" w:rsidRDefault="00C91BBD" w:rsidP="00EB594B">
            <w:pPr>
              <w:spacing w:after="120"/>
              <w:jc w:val="left"/>
            </w:pPr>
            <w:r>
              <w:t xml:space="preserve">Provide </w:t>
            </w:r>
            <w:r w:rsidRPr="000B6B11">
              <w:t>FY 2014 Canceling Year Lines &amp; NBS Automated Close Program</w:t>
            </w:r>
          </w:p>
        </w:tc>
      </w:tr>
      <w:tr w:rsidR="00C91BBD" w:rsidRPr="00473AD0" w14:paraId="2A2D24B0" w14:textId="77777777" w:rsidTr="00C91BBD">
        <w:trPr>
          <w:trHeight w:val="290"/>
          <w:jc w:val="center"/>
        </w:trPr>
        <w:tc>
          <w:tcPr>
            <w:tcW w:w="890" w:type="dxa"/>
            <w:noWrap/>
          </w:tcPr>
          <w:p w14:paraId="4367CA84" w14:textId="77777777" w:rsidR="00C91BBD" w:rsidRPr="00473AD0" w:rsidRDefault="00C91BBD" w:rsidP="0058481E">
            <w:pPr>
              <w:spacing w:after="120"/>
            </w:pPr>
            <w:r>
              <w:t>19-49</w:t>
            </w:r>
          </w:p>
        </w:tc>
        <w:tc>
          <w:tcPr>
            <w:tcW w:w="3510" w:type="dxa"/>
            <w:noWrap/>
          </w:tcPr>
          <w:p w14:paraId="7FD10330" w14:textId="77777777" w:rsidR="00C91BBD" w:rsidRPr="00473AD0" w:rsidRDefault="00C91BBD" w:rsidP="00EB594B">
            <w:pPr>
              <w:spacing w:after="120"/>
              <w:jc w:val="left"/>
            </w:pPr>
            <w:r w:rsidRPr="00D8370E">
              <w:t>FY 2014 Canceling Year Lines &amp; Scheduled NBS Automated Close Program Run of July 20</w:t>
            </w:r>
          </w:p>
        </w:tc>
        <w:tc>
          <w:tcPr>
            <w:tcW w:w="1350" w:type="dxa"/>
            <w:noWrap/>
          </w:tcPr>
          <w:p w14:paraId="10745575" w14:textId="77777777" w:rsidR="00C91BBD" w:rsidRPr="00473AD0" w:rsidRDefault="00C91BBD" w:rsidP="0058481E">
            <w:pPr>
              <w:spacing w:after="120"/>
            </w:pPr>
            <w:r>
              <w:t>7/1/2019</w:t>
            </w:r>
          </w:p>
        </w:tc>
        <w:tc>
          <w:tcPr>
            <w:tcW w:w="5135" w:type="dxa"/>
          </w:tcPr>
          <w:p w14:paraId="59FF1749" w14:textId="77777777" w:rsidR="00C91BBD" w:rsidRPr="00473AD0" w:rsidRDefault="00C91BBD" w:rsidP="00EB594B">
            <w:pPr>
              <w:spacing w:after="120"/>
              <w:jc w:val="left"/>
            </w:pPr>
            <w:r>
              <w:t xml:space="preserve">Provide update on cancelling year lines &amp; scheduled </w:t>
            </w:r>
            <w:proofErr w:type="gramStart"/>
            <w:r>
              <w:t>NBS  Automated</w:t>
            </w:r>
            <w:proofErr w:type="gramEnd"/>
            <w:r>
              <w:t xml:space="preserve"> Close</w:t>
            </w:r>
          </w:p>
        </w:tc>
      </w:tr>
      <w:tr w:rsidR="00C91BBD" w:rsidRPr="00473AD0" w14:paraId="4586C12B" w14:textId="77777777" w:rsidTr="00C91BBD">
        <w:trPr>
          <w:trHeight w:val="290"/>
          <w:jc w:val="center"/>
        </w:trPr>
        <w:tc>
          <w:tcPr>
            <w:tcW w:w="890" w:type="dxa"/>
            <w:noWrap/>
          </w:tcPr>
          <w:p w14:paraId="20E52D43" w14:textId="77777777" w:rsidR="00C91BBD" w:rsidRPr="00473AD0" w:rsidRDefault="00C91BBD" w:rsidP="0058481E">
            <w:pPr>
              <w:spacing w:after="120"/>
            </w:pPr>
            <w:r>
              <w:t>19-50</w:t>
            </w:r>
          </w:p>
        </w:tc>
        <w:tc>
          <w:tcPr>
            <w:tcW w:w="3510" w:type="dxa"/>
            <w:noWrap/>
          </w:tcPr>
          <w:p w14:paraId="13061518" w14:textId="77777777" w:rsidR="00C91BBD" w:rsidRPr="00473AD0" w:rsidRDefault="00C91BBD" w:rsidP="00EB594B">
            <w:pPr>
              <w:spacing w:after="120"/>
              <w:jc w:val="left"/>
            </w:pPr>
            <w:r w:rsidRPr="00047A91">
              <w:t>FPDS Changes – June 2019</w:t>
            </w:r>
          </w:p>
        </w:tc>
        <w:tc>
          <w:tcPr>
            <w:tcW w:w="1350" w:type="dxa"/>
            <w:noWrap/>
          </w:tcPr>
          <w:p w14:paraId="6B640492" w14:textId="77777777" w:rsidR="00C91BBD" w:rsidRPr="00473AD0" w:rsidRDefault="00C91BBD" w:rsidP="0058481E">
            <w:pPr>
              <w:spacing w:after="120"/>
            </w:pPr>
            <w:r>
              <w:t>7/1/2019</w:t>
            </w:r>
          </w:p>
        </w:tc>
        <w:tc>
          <w:tcPr>
            <w:tcW w:w="5135" w:type="dxa"/>
          </w:tcPr>
          <w:p w14:paraId="7710407C" w14:textId="77777777" w:rsidR="00C91BBD" w:rsidRPr="00473AD0" w:rsidRDefault="00C91BBD" w:rsidP="00EB594B">
            <w:pPr>
              <w:spacing w:after="120"/>
              <w:jc w:val="left"/>
            </w:pPr>
            <w:r>
              <w:t>Provide FPDS Changes</w:t>
            </w:r>
          </w:p>
        </w:tc>
      </w:tr>
      <w:tr w:rsidR="00C91BBD" w:rsidRPr="00473AD0" w14:paraId="2CDD2DB3" w14:textId="77777777" w:rsidTr="00C91BBD">
        <w:trPr>
          <w:trHeight w:val="530"/>
          <w:jc w:val="center"/>
        </w:trPr>
        <w:tc>
          <w:tcPr>
            <w:tcW w:w="890" w:type="dxa"/>
            <w:noWrap/>
          </w:tcPr>
          <w:p w14:paraId="5DAD6CA8" w14:textId="77777777" w:rsidR="00C91BBD" w:rsidRPr="00473AD0" w:rsidRDefault="00C91BBD" w:rsidP="0058481E">
            <w:pPr>
              <w:spacing w:after="120"/>
            </w:pPr>
            <w:r>
              <w:t>19-51</w:t>
            </w:r>
          </w:p>
        </w:tc>
        <w:tc>
          <w:tcPr>
            <w:tcW w:w="3510" w:type="dxa"/>
            <w:noWrap/>
          </w:tcPr>
          <w:p w14:paraId="612E414C" w14:textId="77777777" w:rsidR="00C91BBD" w:rsidRPr="00473AD0" w:rsidRDefault="00C91BBD" w:rsidP="00EB594B">
            <w:pPr>
              <w:spacing w:after="120"/>
              <w:jc w:val="left"/>
            </w:pPr>
            <w:proofErr w:type="spellStart"/>
            <w:r w:rsidRPr="00047A91">
              <w:t>PCard</w:t>
            </w:r>
            <w:proofErr w:type="spellEnd"/>
            <w:r w:rsidRPr="00047A91">
              <w:t xml:space="preserve"> Changes – June 2019</w:t>
            </w:r>
          </w:p>
        </w:tc>
        <w:tc>
          <w:tcPr>
            <w:tcW w:w="1350" w:type="dxa"/>
            <w:noWrap/>
          </w:tcPr>
          <w:p w14:paraId="468BD966" w14:textId="77777777" w:rsidR="00C91BBD" w:rsidRPr="00473AD0" w:rsidRDefault="00C91BBD" w:rsidP="0058481E">
            <w:pPr>
              <w:spacing w:after="120"/>
            </w:pPr>
            <w:r>
              <w:t>7/1/2019</w:t>
            </w:r>
          </w:p>
        </w:tc>
        <w:tc>
          <w:tcPr>
            <w:tcW w:w="5135" w:type="dxa"/>
          </w:tcPr>
          <w:p w14:paraId="7E200142" w14:textId="77777777" w:rsidR="00C91BBD" w:rsidRPr="00473AD0" w:rsidRDefault="00C91BBD" w:rsidP="00EB594B">
            <w:pPr>
              <w:spacing w:after="120"/>
              <w:jc w:val="left"/>
            </w:pPr>
            <w:r>
              <w:t xml:space="preserve">Provide </w:t>
            </w:r>
            <w:proofErr w:type="spellStart"/>
            <w:r>
              <w:t>PCard</w:t>
            </w:r>
            <w:proofErr w:type="spellEnd"/>
            <w:r>
              <w:t xml:space="preserve"> Changes</w:t>
            </w:r>
          </w:p>
        </w:tc>
      </w:tr>
      <w:tr w:rsidR="00C91BBD" w:rsidRPr="00473AD0" w14:paraId="5C1AD827" w14:textId="77777777" w:rsidTr="00C91BBD">
        <w:trPr>
          <w:trHeight w:val="290"/>
          <w:jc w:val="center"/>
        </w:trPr>
        <w:tc>
          <w:tcPr>
            <w:tcW w:w="890" w:type="dxa"/>
            <w:noWrap/>
          </w:tcPr>
          <w:p w14:paraId="3C2EF515" w14:textId="77777777" w:rsidR="00C91BBD" w:rsidRPr="00473AD0" w:rsidRDefault="00C91BBD" w:rsidP="0058481E">
            <w:pPr>
              <w:spacing w:after="120"/>
            </w:pPr>
            <w:r>
              <w:t>19-52</w:t>
            </w:r>
          </w:p>
        </w:tc>
        <w:tc>
          <w:tcPr>
            <w:tcW w:w="3510" w:type="dxa"/>
            <w:noWrap/>
          </w:tcPr>
          <w:p w14:paraId="707D0449" w14:textId="77777777" w:rsidR="00C91BBD" w:rsidRPr="00473AD0" w:rsidRDefault="00C91BBD" w:rsidP="00EB594B">
            <w:pPr>
              <w:spacing w:after="120"/>
              <w:jc w:val="left"/>
            </w:pPr>
            <w:r w:rsidRPr="00013D34">
              <w:t>FY 2014 Canceling Year Lines &amp; Scheduled NBS Automated Close Program Run of July 20</w:t>
            </w:r>
          </w:p>
        </w:tc>
        <w:tc>
          <w:tcPr>
            <w:tcW w:w="1350" w:type="dxa"/>
            <w:noWrap/>
          </w:tcPr>
          <w:p w14:paraId="071A66AC" w14:textId="77777777" w:rsidR="00C91BBD" w:rsidRPr="00473AD0" w:rsidRDefault="00C91BBD" w:rsidP="0058481E">
            <w:pPr>
              <w:spacing w:after="120"/>
            </w:pPr>
            <w:r>
              <w:t>7/8/2019</w:t>
            </w:r>
          </w:p>
        </w:tc>
        <w:tc>
          <w:tcPr>
            <w:tcW w:w="5135" w:type="dxa"/>
          </w:tcPr>
          <w:p w14:paraId="1AE19B98" w14:textId="77777777" w:rsidR="00C91BBD" w:rsidRPr="00473AD0" w:rsidRDefault="00C91BBD" w:rsidP="00EB594B">
            <w:pPr>
              <w:spacing w:after="120"/>
              <w:jc w:val="left"/>
            </w:pPr>
            <w:r>
              <w:t xml:space="preserve">Provide </w:t>
            </w:r>
            <w:r w:rsidRPr="000B6B11">
              <w:t>FY 2014 Canceling Year Lines &amp; Scheduled NBS Automated Close</w:t>
            </w:r>
          </w:p>
        </w:tc>
      </w:tr>
      <w:tr w:rsidR="00C91BBD" w:rsidRPr="00473AD0" w14:paraId="2C5BD7BD" w14:textId="77777777" w:rsidTr="00C91BBD">
        <w:trPr>
          <w:trHeight w:val="290"/>
          <w:jc w:val="center"/>
        </w:trPr>
        <w:tc>
          <w:tcPr>
            <w:tcW w:w="890" w:type="dxa"/>
            <w:noWrap/>
          </w:tcPr>
          <w:p w14:paraId="0CE34A61" w14:textId="77777777" w:rsidR="00C91BBD" w:rsidRPr="00473AD0" w:rsidRDefault="00C91BBD" w:rsidP="0058481E">
            <w:pPr>
              <w:spacing w:after="120"/>
            </w:pPr>
            <w:r>
              <w:t>19-53</w:t>
            </w:r>
          </w:p>
        </w:tc>
        <w:tc>
          <w:tcPr>
            <w:tcW w:w="3510" w:type="dxa"/>
            <w:noWrap/>
          </w:tcPr>
          <w:p w14:paraId="06A92889" w14:textId="77777777" w:rsidR="00C91BBD" w:rsidRPr="00473AD0" w:rsidRDefault="00C91BBD" w:rsidP="00EB594B">
            <w:pPr>
              <w:spacing w:after="120"/>
              <w:jc w:val="left"/>
            </w:pPr>
            <w:r w:rsidRPr="004C00F6">
              <w:t>DCIS is Down</w:t>
            </w:r>
          </w:p>
        </w:tc>
        <w:tc>
          <w:tcPr>
            <w:tcW w:w="1350" w:type="dxa"/>
            <w:noWrap/>
          </w:tcPr>
          <w:p w14:paraId="2284B336" w14:textId="77777777" w:rsidR="00C91BBD" w:rsidRPr="00473AD0" w:rsidRDefault="00C91BBD" w:rsidP="0058481E">
            <w:pPr>
              <w:spacing w:after="120"/>
            </w:pPr>
            <w:r>
              <w:t>7/15/2019</w:t>
            </w:r>
          </w:p>
        </w:tc>
        <w:tc>
          <w:tcPr>
            <w:tcW w:w="5135" w:type="dxa"/>
          </w:tcPr>
          <w:p w14:paraId="57DBF53C" w14:textId="77777777" w:rsidR="00C91BBD" w:rsidRPr="00473AD0" w:rsidRDefault="00C91BBD" w:rsidP="00EB594B">
            <w:pPr>
              <w:spacing w:after="120"/>
              <w:jc w:val="left"/>
            </w:pPr>
            <w:r>
              <w:t>DCIS Downtime</w:t>
            </w:r>
          </w:p>
        </w:tc>
      </w:tr>
      <w:tr w:rsidR="00C91BBD" w:rsidRPr="00473AD0" w14:paraId="1E7A151B" w14:textId="77777777" w:rsidTr="00C91BBD">
        <w:trPr>
          <w:trHeight w:val="290"/>
          <w:jc w:val="center"/>
        </w:trPr>
        <w:tc>
          <w:tcPr>
            <w:tcW w:w="890" w:type="dxa"/>
            <w:noWrap/>
          </w:tcPr>
          <w:p w14:paraId="5A703870" w14:textId="77777777" w:rsidR="00C91BBD" w:rsidRPr="00473AD0" w:rsidRDefault="00C91BBD" w:rsidP="0058481E">
            <w:pPr>
              <w:spacing w:after="120"/>
            </w:pPr>
            <w:r>
              <w:t>19-54</w:t>
            </w:r>
          </w:p>
        </w:tc>
        <w:tc>
          <w:tcPr>
            <w:tcW w:w="3510" w:type="dxa"/>
            <w:noWrap/>
          </w:tcPr>
          <w:p w14:paraId="1E32052B" w14:textId="77777777" w:rsidR="00C91BBD" w:rsidRPr="00473AD0" w:rsidRDefault="00C91BBD" w:rsidP="00EB594B">
            <w:pPr>
              <w:spacing w:after="120"/>
              <w:jc w:val="left"/>
            </w:pPr>
            <w:r w:rsidRPr="004C00F6">
              <w:t>DCIS Connectivity - RESOLVED</w:t>
            </w:r>
          </w:p>
        </w:tc>
        <w:tc>
          <w:tcPr>
            <w:tcW w:w="1350" w:type="dxa"/>
            <w:noWrap/>
          </w:tcPr>
          <w:p w14:paraId="7FFD0C59" w14:textId="77777777" w:rsidR="00C91BBD" w:rsidRPr="00473AD0" w:rsidRDefault="00C91BBD" w:rsidP="0058481E">
            <w:pPr>
              <w:spacing w:after="120"/>
            </w:pPr>
            <w:r>
              <w:t>7/15/2019</w:t>
            </w:r>
          </w:p>
        </w:tc>
        <w:tc>
          <w:tcPr>
            <w:tcW w:w="5135" w:type="dxa"/>
          </w:tcPr>
          <w:p w14:paraId="29CFA859" w14:textId="77777777" w:rsidR="00C91BBD" w:rsidRPr="00473AD0" w:rsidRDefault="00C91BBD" w:rsidP="00EB594B">
            <w:pPr>
              <w:spacing w:after="120"/>
              <w:jc w:val="left"/>
            </w:pPr>
            <w:r>
              <w:t>DCIS Restored</w:t>
            </w:r>
          </w:p>
        </w:tc>
      </w:tr>
      <w:tr w:rsidR="00C91BBD" w:rsidRPr="00473AD0" w14:paraId="54B7F586" w14:textId="77777777" w:rsidTr="00C91BBD">
        <w:trPr>
          <w:trHeight w:val="290"/>
          <w:jc w:val="center"/>
        </w:trPr>
        <w:tc>
          <w:tcPr>
            <w:tcW w:w="890" w:type="dxa"/>
            <w:noWrap/>
          </w:tcPr>
          <w:p w14:paraId="4C887E2E" w14:textId="77777777" w:rsidR="00C91BBD" w:rsidRPr="00473AD0" w:rsidRDefault="00C91BBD" w:rsidP="0058481E">
            <w:pPr>
              <w:spacing w:after="120"/>
            </w:pPr>
            <w:r>
              <w:lastRenderedPageBreak/>
              <w:t>19-55</w:t>
            </w:r>
          </w:p>
        </w:tc>
        <w:tc>
          <w:tcPr>
            <w:tcW w:w="3510" w:type="dxa"/>
            <w:noWrap/>
          </w:tcPr>
          <w:p w14:paraId="2B5D8E98" w14:textId="77777777" w:rsidR="00C91BBD" w:rsidRPr="00473AD0" w:rsidRDefault="00C91BBD" w:rsidP="00EB594B">
            <w:pPr>
              <w:spacing w:after="120"/>
              <w:jc w:val="left"/>
            </w:pPr>
            <w:r w:rsidRPr="00013D34">
              <w:t>FY 2014 Canceling Year Lines &amp; Scheduled NBS Automated Close Program Run of July 20</w:t>
            </w:r>
          </w:p>
        </w:tc>
        <w:tc>
          <w:tcPr>
            <w:tcW w:w="1350" w:type="dxa"/>
            <w:noWrap/>
          </w:tcPr>
          <w:p w14:paraId="3F341591" w14:textId="77777777" w:rsidR="00C91BBD" w:rsidRPr="00473AD0" w:rsidRDefault="00C91BBD" w:rsidP="0058481E">
            <w:pPr>
              <w:spacing w:after="120"/>
            </w:pPr>
            <w:r>
              <w:t>7/15/2019</w:t>
            </w:r>
          </w:p>
        </w:tc>
        <w:tc>
          <w:tcPr>
            <w:tcW w:w="5135" w:type="dxa"/>
          </w:tcPr>
          <w:p w14:paraId="4C2C25EE" w14:textId="77777777" w:rsidR="00C91BBD" w:rsidRPr="00473AD0" w:rsidRDefault="00C91BBD" w:rsidP="00EB594B">
            <w:pPr>
              <w:spacing w:after="120"/>
              <w:jc w:val="left"/>
            </w:pPr>
            <w:r>
              <w:t xml:space="preserve">Provide </w:t>
            </w:r>
            <w:r w:rsidRPr="000B6B11">
              <w:t>FY 2014 Canceling Year Lines &amp; Scheduled NBS Automated Close</w:t>
            </w:r>
          </w:p>
        </w:tc>
      </w:tr>
      <w:tr w:rsidR="00C91BBD" w:rsidRPr="00473AD0" w14:paraId="045A41E2" w14:textId="77777777" w:rsidTr="00C91BBD">
        <w:trPr>
          <w:trHeight w:val="290"/>
          <w:jc w:val="center"/>
        </w:trPr>
        <w:tc>
          <w:tcPr>
            <w:tcW w:w="890" w:type="dxa"/>
            <w:noWrap/>
          </w:tcPr>
          <w:p w14:paraId="3052FC42" w14:textId="77777777" w:rsidR="00C91BBD" w:rsidRPr="00473AD0" w:rsidRDefault="00C91BBD" w:rsidP="0058481E">
            <w:pPr>
              <w:spacing w:after="120"/>
            </w:pPr>
            <w:r>
              <w:t>19-56</w:t>
            </w:r>
          </w:p>
        </w:tc>
        <w:tc>
          <w:tcPr>
            <w:tcW w:w="3510" w:type="dxa"/>
            <w:noWrap/>
          </w:tcPr>
          <w:p w14:paraId="7AA43D00" w14:textId="77777777" w:rsidR="00C91BBD" w:rsidRPr="00473AD0" w:rsidRDefault="00C91BBD" w:rsidP="00EB594B">
            <w:pPr>
              <w:spacing w:after="120"/>
              <w:jc w:val="left"/>
            </w:pPr>
            <w:r w:rsidRPr="004C00F6">
              <w:t>FPDS Maintenance Downtime - Saturday, July 20, 2019</w:t>
            </w:r>
          </w:p>
        </w:tc>
        <w:tc>
          <w:tcPr>
            <w:tcW w:w="1350" w:type="dxa"/>
            <w:noWrap/>
          </w:tcPr>
          <w:p w14:paraId="09C51EB7" w14:textId="77777777" w:rsidR="00C91BBD" w:rsidRPr="00473AD0" w:rsidRDefault="00C91BBD" w:rsidP="0058481E">
            <w:pPr>
              <w:spacing w:after="120"/>
            </w:pPr>
            <w:r>
              <w:t>7/18/2019</w:t>
            </w:r>
          </w:p>
        </w:tc>
        <w:tc>
          <w:tcPr>
            <w:tcW w:w="5135" w:type="dxa"/>
          </w:tcPr>
          <w:p w14:paraId="6A3813BE" w14:textId="77777777" w:rsidR="00C91BBD" w:rsidRPr="00473AD0" w:rsidRDefault="00C91BBD" w:rsidP="00EB594B">
            <w:pPr>
              <w:spacing w:after="120"/>
              <w:jc w:val="left"/>
            </w:pPr>
            <w:r>
              <w:t>FPDS Maintenance Downtime</w:t>
            </w:r>
          </w:p>
        </w:tc>
      </w:tr>
      <w:tr w:rsidR="00700A4A" w:rsidRPr="00473AD0" w14:paraId="159F0EC4" w14:textId="77777777" w:rsidTr="00700A4A">
        <w:tblPrEx>
          <w:jc w:val="left"/>
        </w:tblPrEx>
        <w:trPr>
          <w:trHeight w:val="290"/>
        </w:trPr>
        <w:tc>
          <w:tcPr>
            <w:tcW w:w="890" w:type="dxa"/>
            <w:noWrap/>
            <w:hideMark/>
          </w:tcPr>
          <w:p w14:paraId="540A399A" w14:textId="63E887F2" w:rsidR="00700A4A" w:rsidRPr="00473AD0" w:rsidRDefault="00700A4A" w:rsidP="0058481E">
            <w:pPr>
              <w:spacing w:after="120"/>
            </w:pPr>
            <w:bookmarkStart w:id="1" w:name="_GoBack" w:colFirst="0" w:colLast="3"/>
            <w:r w:rsidRPr="00473AD0">
              <w:t>19-</w:t>
            </w:r>
            <w:r>
              <w:t>57</w:t>
            </w:r>
          </w:p>
        </w:tc>
        <w:tc>
          <w:tcPr>
            <w:tcW w:w="3510" w:type="dxa"/>
            <w:noWrap/>
            <w:hideMark/>
          </w:tcPr>
          <w:p w14:paraId="2750B96A" w14:textId="4FFAD069" w:rsidR="00700A4A" w:rsidRPr="00473AD0" w:rsidRDefault="00700A4A" w:rsidP="00EB594B">
            <w:pPr>
              <w:spacing w:after="120"/>
              <w:jc w:val="left"/>
            </w:pPr>
            <w:r w:rsidRPr="00EB594B">
              <w:t>NBS Automated Close Program Run of July 20 Postponed</w:t>
            </w:r>
          </w:p>
        </w:tc>
        <w:tc>
          <w:tcPr>
            <w:tcW w:w="1350" w:type="dxa"/>
            <w:noWrap/>
          </w:tcPr>
          <w:p w14:paraId="5EE5E3A2" w14:textId="1E08DCD8" w:rsidR="00700A4A" w:rsidRPr="00473AD0" w:rsidRDefault="00700A4A" w:rsidP="0058481E">
            <w:pPr>
              <w:spacing w:after="120"/>
            </w:pPr>
            <w:r>
              <w:t>7/19/2019</w:t>
            </w:r>
          </w:p>
        </w:tc>
        <w:tc>
          <w:tcPr>
            <w:tcW w:w="5135" w:type="dxa"/>
          </w:tcPr>
          <w:p w14:paraId="20272987" w14:textId="77777777" w:rsidR="00700A4A" w:rsidRPr="00EB594B" w:rsidRDefault="00700A4A" w:rsidP="00EB594B">
            <w:pPr>
              <w:spacing w:after="75" w:line="264" w:lineRule="auto"/>
              <w:jc w:val="left"/>
            </w:pPr>
            <w:r w:rsidRPr="00EB594B">
              <w:t>Cancel Year Lines and Expiring Lines</w:t>
            </w:r>
          </w:p>
          <w:p w14:paraId="345AACAC" w14:textId="1844BD84" w:rsidR="00700A4A" w:rsidRPr="00473AD0" w:rsidRDefault="00700A4A" w:rsidP="00EB594B">
            <w:pPr>
              <w:spacing w:after="120"/>
              <w:jc w:val="left"/>
            </w:pPr>
          </w:p>
        </w:tc>
      </w:tr>
      <w:tr w:rsidR="00700A4A" w:rsidRPr="00473AD0" w14:paraId="5D92D3ED" w14:textId="77777777" w:rsidTr="00700A4A">
        <w:tblPrEx>
          <w:jc w:val="left"/>
        </w:tblPrEx>
        <w:trPr>
          <w:trHeight w:val="290"/>
        </w:trPr>
        <w:tc>
          <w:tcPr>
            <w:tcW w:w="890" w:type="dxa"/>
            <w:noWrap/>
            <w:hideMark/>
          </w:tcPr>
          <w:p w14:paraId="1206253C" w14:textId="1A562F8A" w:rsidR="00700A4A" w:rsidRPr="00473AD0" w:rsidRDefault="00700A4A" w:rsidP="0058481E">
            <w:pPr>
              <w:spacing w:after="120"/>
            </w:pPr>
            <w:r w:rsidRPr="00473AD0">
              <w:t>19-</w:t>
            </w:r>
            <w:r>
              <w:t>58</w:t>
            </w:r>
          </w:p>
        </w:tc>
        <w:tc>
          <w:tcPr>
            <w:tcW w:w="3510" w:type="dxa"/>
            <w:noWrap/>
            <w:hideMark/>
          </w:tcPr>
          <w:p w14:paraId="10CF32D6" w14:textId="6E7AF91B" w:rsidR="00700A4A" w:rsidRPr="00473AD0" w:rsidRDefault="00700A4A" w:rsidP="00EB594B">
            <w:pPr>
              <w:spacing w:after="120"/>
              <w:jc w:val="left"/>
            </w:pPr>
            <w:r w:rsidRPr="00EB594B">
              <w:t>DCIS/FPDS-ng NEW Item 2H Solicitation Date</w:t>
            </w:r>
          </w:p>
        </w:tc>
        <w:tc>
          <w:tcPr>
            <w:tcW w:w="1350" w:type="dxa"/>
            <w:noWrap/>
          </w:tcPr>
          <w:p w14:paraId="77DDEC84" w14:textId="15E708EF" w:rsidR="00700A4A" w:rsidRPr="00473AD0" w:rsidRDefault="00700A4A" w:rsidP="0058481E">
            <w:pPr>
              <w:spacing w:after="120"/>
            </w:pPr>
            <w:r>
              <w:t>7/22/2019</w:t>
            </w:r>
          </w:p>
        </w:tc>
        <w:tc>
          <w:tcPr>
            <w:tcW w:w="5135" w:type="dxa"/>
          </w:tcPr>
          <w:p w14:paraId="17C78DAD" w14:textId="720A1B2B" w:rsidR="00700A4A" w:rsidRPr="00473AD0" w:rsidRDefault="00700A4A" w:rsidP="00EB594B">
            <w:pPr>
              <w:spacing w:after="120"/>
              <w:jc w:val="left"/>
            </w:pPr>
            <w:r w:rsidRPr="00700A4A">
              <w:t>NEW Item 2H Solicitation Date added July 2019</w:t>
            </w:r>
          </w:p>
        </w:tc>
      </w:tr>
      <w:tr w:rsidR="00700A4A" w:rsidRPr="00473AD0" w14:paraId="428F49A8" w14:textId="77777777" w:rsidTr="00700A4A">
        <w:tblPrEx>
          <w:jc w:val="left"/>
        </w:tblPrEx>
        <w:trPr>
          <w:trHeight w:val="290"/>
        </w:trPr>
        <w:tc>
          <w:tcPr>
            <w:tcW w:w="890" w:type="dxa"/>
            <w:noWrap/>
          </w:tcPr>
          <w:p w14:paraId="64D92022" w14:textId="5A019457" w:rsidR="00700A4A" w:rsidRPr="00473AD0" w:rsidRDefault="00700A4A" w:rsidP="0058481E">
            <w:pPr>
              <w:spacing w:after="120"/>
            </w:pPr>
            <w:r>
              <w:t>19-59</w:t>
            </w:r>
          </w:p>
        </w:tc>
        <w:tc>
          <w:tcPr>
            <w:tcW w:w="3510" w:type="dxa"/>
            <w:noWrap/>
          </w:tcPr>
          <w:p w14:paraId="78B2ADE9" w14:textId="5B957897" w:rsidR="00700A4A" w:rsidRPr="00473AD0" w:rsidRDefault="00700A4A" w:rsidP="00EB594B">
            <w:pPr>
              <w:spacing w:after="120"/>
              <w:jc w:val="left"/>
            </w:pPr>
            <w:r w:rsidRPr="00EB594B">
              <w:t>FY 2014 Canceling Year Lines &amp; Scheduled NBS Automated Close Program Run of August 24</w:t>
            </w:r>
          </w:p>
        </w:tc>
        <w:tc>
          <w:tcPr>
            <w:tcW w:w="1350" w:type="dxa"/>
            <w:noWrap/>
          </w:tcPr>
          <w:p w14:paraId="79C6C39E" w14:textId="3C86D2D4" w:rsidR="00700A4A" w:rsidRPr="00473AD0" w:rsidRDefault="00700A4A" w:rsidP="0058481E">
            <w:pPr>
              <w:spacing w:after="120"/>
            </w:pPr>
            <w:r>
              <w:t>7/22/2019</w:t>
            </w:r>
          </w:p>
        </w:tc>
        <w:tc>
          <w:tcPr>
            <w:tcW w:w="5135" w:type="dxa"/>
          </w:tcPr>
          <w:p w14:paraId="7B84C0CD" w14:textId="77777777" w:rsidR="00700A4A" w:rsidRPr="00EB594B" w:rsidRDefault="00700A4A" w:rsidP="00EB594B">
            <w:pPr>
              <w:spacing w:after="75" w:line="264" w:lineRule="auto"/>
              <w:jc w:val="left"/>
            </w:pPr>
            <w:r w:rsidRPr="00EB594B">
              <w:t>Cancel Year Lines and Expiring Lines</w:t>
            </w:r>
          </w:p>
          <w:p w14:paraId="594B8DE4" w14:textId="759BF7F7" w:rsidR="00700A4A" w:rsidRPr="00473AD0" w:rsidRDefault="00700A4A" w:rsidP="00EB594B">
            <w:pPr>
              <w:spacing w:after="120"/>
              <w:jc w:val="left"/>
            </w:pPr>
          </w:p>
        </w:tc>
      </w:tr>
      <w:tr w:rsidR="00700A4A" w:rsidRPr="00473AD0" w14:paraId="4265716B" w14:textId="77777777" w:rsidTr="00700A4A">
        <w:tblPrEx>
          <w:jc w:val="left"/>
        </w:tblPrEx>
        <w:trPr>
          <w:trHeight w:val="485"/>
        </w:trPr>
        <w:tc>
          <w:tcPr>
            <w:tcW w:w="890" w:type="dxa"/>
            <w:noWrap/>
          </w:tcPr>
          <w:p w14:paraId="0E09861B" w14:textId="31E1CAF0" w:rsidR="00700A4A" w:rsidRPr="00473AD0" w:rsidRDefault="00700A4A" w:rsidP="0058481E">
            <w:pPr>
              <w:spacing w:after="120"/>
            </w:pPr>
            <w:r>
              <w:t>19-60</w:t>
            </w:r>
          </w:p>
        </w:tc>
        <w:tc>
          <w:tcPr>
            <w:tcW w:w="3510" w:type="dxa"/>
            <w:noWrap/>
          </w:tcPr>
          <w:p w14:paraId="1E6A65A5" w14:textId="1994364E" w:rsidR="00700A4A" w:rsidRPr="00473AD0" w:rsidRDefault="00700A4A" w:rsidP="00EB594B">
            <w:pPr>
              <w:spacing w:after="120"/>
              <w:jc w:val="left"/>
            </w:pPr>
            <w:r w:rsidRPr="00EB594B">
              <w:t>Error message received when updating/correcting a finalized DCIS/FPDS report.</w:t>
            </w:r>
          </w:p>
        </w:tc>
        <w:tc>
          <w:tcPr>
            <w:tcW w:w="1350" w:type="dxa"/>
            <w:noWrap/>
          </w:tcPr>
          <w:p w14:paraId="72CA2861" w14:textId="074A3B27" w:rsidR="00700A4A" w:rsidRPr="00473AD0" w:rsidRDefault="00700A4A" w:rsidP="0058481E">
            <w:pPr>
              <w:spacing w:after="120"/>
            </w:pPr>
            <w:r>
              <w:t>7/23/2019</w:t>
            </w:r>
          </w:p>
        </w:tc>
        <w:tc>
          <w:tcPr>
            <w:tcW w:w="5135" w:type="dxa"/>
          </w:tcPr>
          <w:p w14:paraId="256429B3" w14:textId="77777777" w:rsidR="00700A4A" w:rsidRPr="00EB594B" w:rsidRDefault="00700A4A" w:rsidP="00EB594B">
            <w:pPr>
              <w:keepNext/>
              <w:spacing w:after="320" w:line="240" w:lineRule="auto"/>
              <w:jc w:val="left"/>
            </w:pPr>
            <w:r w:rsidRPr="00EB594B">
              <w:t xml:space="preserve">Buyers are receiving the below error message when correcting/updating a finalized DCIS/FPDS record. </w:t>
            </w:r>
          </w:p>
          <w:p w14:paraId="507C0F58" w14:textId="1D06B540" w:rsidR="00700A4A" w:rsidRPr="00473AD0" w:rsidRDefault="00700A4A" w:rsidP="00EB594B">
            <w:pPr>
              <w:spacing w:after="120"/>
              <w:jc w:val="left"/>
            </w:pPr>
          </w:p>
        </w:tc>
      </w:tr>
      <w:tr w:rsidR="00700A4A" w:rsidRPr="00473AD0" w14:paraId="43F2CADD" w14:textId="77777777" w:rsidTr="00700A4A">
        <w:tblPrEx>
          <w:jc w:val="left"/>
        </w:tblPrEx>
        <w:trPr>
          <w:trHeight w:val="290"/>
        </w:trPr>
        <w:tc>
          <w:tcPr>
            <w:tcW w:w="890" w:type="dxa"/>
            <w:noWrap/>
          </w:tcPr>
          <w:p w14:paraId="48BCF687" w14:textId="06AC2389" w:rsidR="00700A4A" w:rsidRPr="00473AD0" w:rsidRDefault="00700A4A" w:rsidP="0058481E">
            <w:pPr>
              <w:spacing w:after="120"/>
            </w:pPr>
            <w:r>
              <w:t>19-61</w:t>
            </w:r>
          </w:p>
        </w:tc>
        <w:tc>
          <w:tcPr>
            <w:tcW w:w="3510" w:type="dxa"/>
            <w:noWrap/>
          </w:tcPr>
          <w:p w14:paraId="144A7F06" w14:textId="3B697FA1" w:rsidR="00700A4A" w:rsidRPr="00473AD0" w:rsidRDefault="00700A4A" w:rsidP="00EB594B">
            <w:pPr>
              <w:spacing w:after="120"/>
              <w:jc w:val="left"/>
            </w:pPr>
            <w:r w:rsidRPr="00EB594B">
              <w:t>FY 2014 Canceling Year Lines &amp; Scheduled NBS Automated Close Program Run of August 24</w:t>
            </w:r>
          </w:p>
        </w:tc>
        <w:tc>
          <w:tcPr>
            <w:tcW w:w="1350" w:type="dxa"/>
            <w:noWrap/>
          </w:tcPr>
          <w:p w14:paraId="08F7C4D4" w14:textId="5BAD25CB" w:rsidR="00700A4A" w:rsidRPr="00473AD0" w:rsidRDefault="00700A4A" w:rsidP="0058481E">
            <w:pPr>
              <w:spacing w:after="120"/>
            </w:pPr>
            <w:r>
              <w:t>7/29/2019</w:t>
            </w:r>
          </w:p>
        </w:tc>
        <w:tc>
          <w:tcPr>
            <w:tcW w:w="5135" w:type="dxa"/>
          </w:tcPr>
          <w:p w14:paraId="256BCC2E" w14:textId="77777777" w:rsidR="00700A4A" w:rsidRPr="00EB594B" w:rsidRDefault="00700A4A" w:rsidP="00EB594B">
            <w:pPr>
              <w:spacing w:after="75" w:line="264" w:lineRule="auto"/>
              <w:jc w:val="left"/>
            </w:pPr>
            <w:r w:rsidRPr="00EB594B">
              <w:t>Cancel Year Lines and Expiring Lines</w:t>
            </w:r>
          </w:p>
          <w:p w14:paraId="24469C9C" w14:textId="7CC82621" w:rsidR="00700A4A" w:rsidRPr="00473AD0" w:rsidRDefault="00700A4A" w:rsidP="00EB594B">
            <w:pPr>
              <w:spacing w:after="120"/>
              <w:jc w:val="left"/>
            </w:pPr>
          </w:p>
        </w:tc>
      </w:tr>
      <w:tr w:rsidR="00700A4A" w:rsidRPr="00473AD0" w14:paraId="3B271FCE" w14:textId="77777777" w:rsidTr="00700A4A">
        <w:tblPrEx>
          <w:jc w:val="left"/>
        </w:tblPrEx>
        <w:trPr>
          <w:trHeight w:val="290"/>
        </w:trPr>
        <w:tc>
          <w:tcPr>
            <w:tcW w:w="890" w:type="dxa"/>
            <w:noWrap/>
          </w:tcPr>
          <w:p w14:paraId="545D50FB" w14:textId="6612D8F1" w:rsidR="00700A4A" w:rsidRPr="00473AD0" w:rsidRDefault="00700A4A" w:rsidP="0058481E">
            <w:pPr>
              <w:spacing w:after="120"/>
            </w:pPr>
            <w:r>
              <w:t>19-62</w:t>
            </w:r>
          </w:p>
        </w:tc>
        <w:tc>
          <w:tcPr>
            <w:tcW w:w="3510" w:type="dxa"/>
            <w:noWrap/>
          </w:tcPr>
          <w:p w14:paraId="1AF89F14" w14:textId="0276E46E" w:rsidR="00700A4A" w:rsidRPr="00473AD0" w:rsidRDefault="00700A4A" w:rsidP="00EB594B">
            <w:pPr>
              <w:spacing w:after="120"/>
              <w:jc w:val="left"/>
            </w:pPr>
            <w:r w:rsidRPr="00700A4A">
              <w:t>SAM will update the Table of Size Standards to reflect SBA’s recent inflation adjustment to the monetary-based standards</w:t>
            </w:r>
          </w:p>
        </w:tc>
        <w:tc>
          <w:tcPr>
            <w:tcW w:w="1350" w:type="dxa"/>
            <w:noWrap/>
          </w:tcPr>
          <w:p w14:paraId="4EFB7956" w14:textId="262607A2" w:rsidR="00700A4A" w:rsidRPr="00473AD0" w:rsidRDefault="00700A4A" w:rsidP="0058481E">
            <w:pPr>
              <w:spacing w:after="120"/>
            </w:pPr>
            <w:r>
              <w:t>7/19/2019</w:t>
            </w:r>
          </w:p>
        </w:tc>
        <w:tc>
          <w:tcPr>
            <w:tcW w:w="5135" w:type="dxa"/>
          </w:tcPr>
          <w:p w14:paraId="206AC57D" w14:textId="2EFE21F6" w:rsidR="00700A4A" w:rsidRPr="00EB594B" w:rsidRDefault="00700A4A" w:rsidP="00EB594B">
            <w:pPr>
              <w:spacing w:after="120"/>
              <w:jc w:val="left"/>
            </w:pPr>
            <w:r w:rsidRPr="00EB594B">
              <w:t>SAM will update the Table of Size Standards</w:t>
            </w:r>
          </w:p>
        </w:tc>
      </w:tr>
      <w:tr w:rsidR="00700A4A" w:rsidRPr="00473AD0" w14:paraId="4DDCA41E" w14:textId="77777777" w:rsidTr="00700A4A">
        <w:tblPrEx>
          <w:jc w:val="left"/>
        </w:tblPrEx>
        <w:trPr>
          <w:trHeight w:val="530"/>
        </w:trPr>
        <w:tc>
          <w:tcPr>
            <w:tcW w:w="890" w:type="dxa"/>
            <w:noWrap/>
          </w:tcPr>
          <w:p w14:paraId="66FC020B" w14:textId="55EA883B" w:rsidR="00700A4A" w:rsidRPr="00473AD0" w:rsidRDefault="00700A4A" w:rsidP="0058481E">
            <w:pPr>
              <w:spacing w:after="120"/>
            </w:pPr>
            <w:r>
              <w:t>19-63</w:t>
            </w:r>
          </w:p>
        </w:tc>
        <w:tc>
          <w:tcPr>
            <w:tcW w:w="3510" w:type="dxa"/>
            <w:noWrap/>
          </w:tcPr>
          <w:p w14:paraId="6CE74286" w14:textId="31DAE0EB" w:rsidR="00700A4A" w:rsidRPr="00473AD0" w:rsidRDefault="00700A4A" w:rsidP="00EB594B">
            <w:pPr>
              <w:spacing w:after="120"/>
              <w:jc w:val="left"/>
            </w:pPr>
            <w:r w:rsidRPr="00EB594B">
              <w:t>Contract Number Not Found in FPDS – External Delivery/Task Order Error Message</w:t>
            </w:r>
          </w:p>
        </w:tc>
        <w:tc>
          <w:tcPr>
            <w:tcW w:w="1350" w:type="dxa"/>
            <w:noWrap/>
          </w:tcPr>
          <w:p w14:paraId="7EF00969" w14:textId="0B762592" w:rsidR="00700A4A" w:rsidRPr="00473AD0" w:rsidRDefault="00700A4A" w:rsidP="0058481E">
            <w:pPr>
              <w:spacing w:after="120"/>
            </w:pPr>
            <w:r>
              <w:t>8/15/2019</w:t>
            </w:r>
          </w:p>
        </w:tc>
        <w:tc>
          <w:tcPr>
            <w:tcW w:w="5135" w:type="dxa"/>
          </w:tcPr>
          <w:p w14:paraId="59A5EF5D" w14:textId="2F5ED52C" w:rsidR="00700A4A" w:rsidRPr="00473AD0" w:rsidRDefault="00700A4A" w:rsidP="00EB594B">
            <w:pPr>
              <w:spacing w:after="120"/>
              <w:jc w:val="left"/>
            </w:pPr>
            <w:r w:rsidRPr="00EB594B">
              <w:t>Contract Number not found in FPDS message displays when reporting an external Delivery/Task Order base award to DCIS/FPDS</w:t>
            </w:r>
          </w:p>
        </w:tc>
      </w:tr>
      <w:tr w:rsidR="00700A4A" w:rsidRPr="00473AD0" w14:paraId="525097C6" w14:textId="77777777" w:rsidTr="00700A4A">
        <w:tblPrEx>
          <w:jc w:val="left"/>
        </w:tblPrEx>
        <w:trPr>
          <w:trHeight w:val="290"/>
        </w:trPr>
        <w:tc>
          <w:tcPr>
            <w:tcW w:w="890" w:type="dxa"/>
            <w:noWrap/>
          </w:tcPr>
          <w:p w14:paraId="2490EADE" w14:textId="4775219D" w:rsidR="00700A4A" w:rsidRPr="00473AD0" w:rsidRDefault="00700A4A" w:rsidP="0058481E">
            <w:pPr>
              <w:spacing w:after="120"/>
            </w:pPr>
            <w:r>
              <w:t>19-6</w:t>
            </w:r>
            <w:r w:rsidR="00FF40D1">
              <w:t>4</w:t>
            </w:r>
          </w:p>
        </w:tc>
        <w:tc>
          <w:tcPr>
            <w:tcW w:w="3510" w:type="dxa"/>
            <w:noWrap/>
          </w:tcPr>
          <w:p w14:paraId="668F0390" w14:textId="062E6D18" w:rsidR="00700A4A" w:rsidRPr="00473AD0" w:rsidRDefault="00700A4A" w:rsidP="00EB594B">
            <w:pPr>
              <w:spacing w:after="120"/>
              <w:jc w:val="left"/>
            </w:pPr>
            <w:r w:rsidRPr="00700A4A">
              <w:t>FPDS Production Downtime -</w:t>
            </w:r>
            <w:r>
              <w:t xml:space="preserve"> </w:t>
            </w:r>
            <w:r w:rsidRPr="00700A4A">
              <w:t>Saturday, August 24, 2019</w:t>
            </w:r>
          </w:p>
        </w:tc>
        <w:tc>
          <w:tcPr>
            <w:tcW w:w="1350" w:type="dxa"/>
            <w:noWrap/>
          </w:tcPr>
          <w:p w14:paraId="17889F01" w14:textId="4E080924" w:rsidR="00700A4A" w:rsidRPr="00473AD0" w:rsidRDefault="00700A4A" w:rsidP="0058481E">
            <w:pPr>
              <w:spacing w:after="120"/>
            </w:pPr>
            <w:r>
              <w:t>8/22/2019</w:t>
            </w:r>
          </w:p>
        </w:tc>
        <w:tc>
          <w:tcPr>
            <w:tcW w:w="5135" w:type="dxa"/>
          </w:tcPr>
          <w:p w14:paraId="6F48AE38" w14:textId="35F4FBD7" w:rsidR="00700A4A" w:rsidRPr="00473AD0" w:rsidRDefault="00700A4A" w:rsidP="00EB594B">
            <w:pPr>
              <w:spacing w:after="120"/>
              <w:jc w:val="left"/>
            </w:pPr>
            <w:r w:rsidRPr="00700A4A">
              <w:t>FPDS Production Downtime -</w:t>
            </w:r>
          </w:p>
        </w:tc>
      </w:tr>
      <w:tr w:rsidR="00700A4A" w:rsidRPr="00473AD0" w14:paraId="4DA8AF98" w14:textId="77777777" w:rsidTr="00700A4A">
        <w:tblPrEx>
          <w:jc w:val="left"/>
        </w:tblPrEx>
        <w:trPr>
          <w:trHeight w:val="290"/>
        </w:trPr>
        <w:tc>
          <w:tcPr>
            <w:tcW w:w="890" w:type="dxa"/>
            <w:noWrap/>
          </w:tcPr>
          <w:p w14:paraId="78DB6377" w14:textId="1E8B56B1" w:rsidR="00700A4A" w:rsidRPr="00473AD0" w:rsidRDefault="00700A4A" w:rsidP="0058481E">
            <w:pPr>
              <w:spacing w:after="120"/>
            </w:pPr>
            <w:r>
              <w:t>19-</w:t>
            </w:r>
            <w:r w:rsidR="00FF40D1">
              <w:t>65</w:t>
            </w:r>
          </w:p>
        </w:tc>
        <w:tc>
          <w:tcPr>
            <w:tcW w:w="3510" w:type="dxa"/>
            <w:noWrap/>
          </w:tcPr>
          <w:p w14:paraId="1383B296" w14:textId="64B6A47A" w:rsidR="00700A4A" w:rsidRPr="00473AD0" w:rsidRDefault="00FF40D1" w:rsidP="00EB594B">
            <w:pPr>
              <w:spacing w:after="120"/>
              <w:jc w:val="left"/>
            </w:pPr>
            <w:r w:rsidRPr="00FF40D1">
              <w:t>No NBS Automated Close Run on August 24</w:t>
            </w:r>
          </w:p>
        </w:tc>
        <w:tc>
          <w:tcPr>
            <w:tcW w:w="1350" w:type="dxa"/>
            <w:noWrap/>
          </w:tcPr>
          <w:p w14:paraId="3E66DCC4" w14:textId="43B768E3" w:rsidR="00700A4A" w:rsidRPr="00473AD0" w:rsidRDefault="00FF40D1" w:rsidP="0058481E">
            <w:pPr>
              <w:spacing w:after="120"/>
            </w:pPr>
            <w:r>
              <w:t>8</w:t>
            </w:r>
            <w:r w:rsidR="00700A4A">
              <w:t>/</w:t>
            </w:r>
            <w:r>
              <w:t>23</w:t>
            </w:r>
            <w:r w:rsidR="00700A4A">
              <w:t>/2019</w:t>
            </w:r>
          </w:p>
        </w:tc>
        <w:tc>
          <w:tcPr>
            <w:tcW w:w="5135" w:type="dxa"/>
          </w:tcPr>
          <w:p w14:paraId="20CC1618" w14:textId="77777777" w:rsidR="00FF40D1" w:rsidRPr="00EB594B" w:rsidRDefault="00FF40D1" w:rsidP="00EB594B">
            <w:pPr>
              <w:spacing w:after="75" w:line="264" w:lineRule="auto"/>
              <w:jc w:val="left"/>
            </w:pPr>
            <w:r w:rsidRPr="00EB594B">
              <w:t>Cancel Year Lines and Expiring Lines</w:t>
            </w:r>
          </w:p>
          <w:p w14:paraId="0B300E7E" w14:textId="54963069" w:rsidR="00700A4A" w:rsidRPr="00473AD0" w:rsidRDefault="00700A4A" w:rsidP="00EB594B">
            <w:pPr>
              <w:spacing w:after="120"/>
              <w:jc w:val="left"/>
            </w:pPr>
          </w:p>
        </w:tc>
      </w:tr>
      <w:tr w:rsidR="00700A4A" w:rsidRPr="00473AD0" w14:paraId="2CF0A7D4" w14:textId="77777777" w:rsidTr="00700A4A">
        <w:tblPrEx>
          <w:jc w:val="left"/>
        </w:tblPrEx>
        <w:trPr>
          <w:trHeight w:val="290"/>
        </w:trPr>
        <w:tc>
          <w:tcPr>
            <w:tcW w:w="890" w:type="dxa"/>
            <w:noWrap/>
          </w:tcPr>
          <w:p w14:paraId="5B65406B" w14:textId="6BE275C4" w:rsidR="00700A4A" w:rsidRPr="00473AD0" w:rsidRDefault="00700A4A" w:rsidP="0058481E">
            <w:pPr>
              <w:spacing w:after="120"/>
            </w:pPr>
            <w:r>
              <w:t>19-</w:t>
            </w:r>
            <w:r w:rsidR="00FF40D1">
              <w:t>66</w:t>
            </w:r>
          </w:p>
        </w:tc>
        <w:tc>
          <w:tcPr>
            <w:tcW w:w="3510" w:type="dxa"/>
            <w:noWrap/>
          </w:tcPr>
          <w:p w14:paraId="56653FC8" w14:textId="78BCF2E3" w:rsidR="00700A4A" w:rsidRPr="00473AD0" w:rsidRDefault="00FF40D1" w:rsidP="00EB594B">
            <w:pPr>
              <w:spacing w:after="120"/>
              <w:jc w:val="left"/>
            </w:pPr>
            <w:r w:rsidRPr="00EB594B">
              <w:t>Please Resolve All FY 2014 Canceling Year Lines ASAP!</w:t>
            </w:r>
          </w:p>
        </w:tc>
        <w:tc>
          <w:tcPr>
            <w:tcW w:w="1350" w:type="dxa"/>
            <w:noWrap/>
          </w:tcPr>
          <w:p w14:paraId="054CBF9D" w14:textId="153A6833" w:rsidR="00700A4A" w:rsidRPr="00473AD0" w:rsidRDefault="00FF40D1" w:rsidP="0058481E">
            <w:pPr>
              <w:spacing w:after="120"/>
            </w:pPr>
            <w:r>
              <w:t>8</w:t>
            </w:r>
            <w:r w:rsidR="00700A4A">
              <w:t>/</w:t>
            </w:r>
            <w:r>
              <w:t>26</w:t>
            </w:r>
            <w:r w:rsidR="00700A4A">
              <w:t>/2019</w:t>
            </w:r>
          </w:p>
        </w:tc>
        <w:tc>
          <w:tcPr>
            <w:tcW w:w="5135" w:type="dxa"/>
          </w:tcPr>
          <w:p w14:paraId="57B42806" w14:textId="77777777" w:rsidR="00FF40D1" w:rsidRPr="00EB594B" w:rsidRDefault="00FF40D1" w:rsidP="00EB594B">
            <w:pPr>
              <w:spacing w:after="75" w:line="264" w:lineRule="auto"/>
              <w:jc w:val="left"/>
            </w:pPr>
            <w:r w:rsidRPr="00EB594B">
              <w:t>Cancel Year Lines and Expiring Lines</w:t>
            </w:r>
          </w:p>
          <w:p w14:paraId="6C5FA959" w14:textId="7440095D" w:rsidR="00700A4A" w:rsidRPr="00473AD0" w:rsidRDefault="00700A4A" w:rsidP="00EB594B">
            <w:pPr>
              <w:spacing w:after="120"/>
              <w:jc w:val="left"/>
            </w:pPr>
          </w:p>
        </w:tc>
      </w:tr>
      <w:tr w:rsidR="00FF40D1" w:rsidRPr="00473AD0" w14:paraId="436F2482" w14:textId="77777777" w:rsidTr="00FF40D1">
        <w:tblPrEx>
          <w:jc w:val="left"/>
        </w:tblPrEx>
        <w:trPr>
          <w:trHeight w:val="290"/>
        </w:trPr>
        <w:tc>
          <w:tcPr>
            <w:tcW w:w="890" w:type="dxa"/>
            <w:noWrap/>
          </w:tcPr>
          <w:p w14:paraId="7F57D915" w14:textId="3A45BBB1" w:rsidR="00FF40D1" w:rsidRPr="00473AD0" w:rsidRDefault="00FF40D1" w:rsidP="0058481E">
            <w:pPr>
              <w:spacing w:after="120"/>
            </w:pPr>
            <w:r>
              <w:t>19-67</w:t>
            </w:r>
          </w:p>
        </w:tc>
        <w:tc>
          <w:tcPr>
            <w:tcW w:w="3510" w:type="dxa"/>
            <w:noWrap/>
          </w:tcPr>
          <w:p w14:paraId="682FFECD" w14:textId="3C58DEFD" w:rsidR="00FF40D1" w:rsidRPr="00473AD0" w:rsidRDefault="00FF40D1" w:rsidP="00EB594B">
            <w:pPr>
              <w:spacing w:after="120"/>
              <w:jc w:val="left"/>
            </w:pPr>
            <w:r w:rsidRPr="00FF40D1">
              <w:t>New National Interest Action Value – Hurricane Dorian 2019</w:t>
            </w:r>
          </w:p>
        </w:tc>
        <w:tc>
          <w:tcPr>
            <w:tcW w:w="1350" w:type="dxa"/>
            <w:noWrap/>
          </w:tcPr>
          <w:p w14:paraId="144EE833" w14:textId="698C26E6" w:rsidR="00FF40D1" w:rsidRPr="00473AD0" w:rsidRDefault="00FF40D1" w:rsidP="0058481E">
            <w:pPr>
              <w:spacing w:after="120"/>
            </w:pPr>
            <w:r>
              <w:t>9/17/2019</w:t>
            </w:r>
          </w:p>
        </w:tc>
        <w:tc>
          <w:tcPr>
            <w:tcW w:w="5135" w:type="dxa"/>
          </w:tcPr>
          <w:p w14:paraId="322EAB52" w14:textId="02A05BDA" w:rsidR="00FF40D1" w:rsidRPr="00EB594B" w:rsidRDefault="00FF40D1" w:rsidP="00EB594B">
            <w:pPr>
              <w:spacing w:after="120"/>
              <w:jc w:val="left"/>
            </w:pPr>
            <w:r w:rsidRPr="00EB594B">
              <w:t>A New National Interest Action (Item) value ‘Hurricane Dorian 2019’ has been added to track the relief contracts in DCIS/FPDS</w:t>
            </w:r>
          </w:p>
        </w:tc>
      </w:tr>
      <w:tr w:rsidR="00FF40D1" w:rsidRPr="00473AD0" w14:paraId="7A23CFAA" w14:textId="77777777" w:rsidTr="00FF40D1">
        <w:tblPrEx>
          <w:jc w:val="left"/>
        </w:tblPrEx>
        <w:trPr>
          <w:trHeight w:val="290"/>
        </w:trPr>
        <w:tc>
          <w:tcPr>
            <w:tcW w:w="890" w:type="dxa"/>
            <w:noWrap/>
          </w:tcPr>
          <w:p w14:paraId="19D86027" w14:textId="273E6929" w:rsidR="00FF40D1" w:rsidRPr="00473AD0" w:rsidRDefault="00FF40D1" w:rsidP="0058481E">
            <w:pPr>
              <w:spacing w:after="120"/>
            </w:pPr>
            <w:r>
              <w:t>20-01</w:t>
            </w:r>
          </w:p>
        </w:tc>
        <w:tc>
          <w:tcPr>
            <w:tcW w:w="3510" w:type="dxa"/>
            <w:noWrap/>
          </w:tcPr>
          <w:p w14:paraId="1CED723D" w14:textId="69557117" w:rsidR="00FF40D1" w:rsidRPr="00473AD0" w:rsidRDefault="00FF40D1" w:rsidP="00EB594B">
            <w:pPr>
              <w:spacing w:after="120"/>
              <w:jc w:val="left"/>
            </w:pPr>
            <w:r w:rsidRPr="00FF40D1">
              <w:t>Decommissioning the Department Contracts Information System (DCIS)</w:t>
            </w:r>
          </w:p>
        </w:tc>
        <w:tc>
          <w:tcPr>
            <w:tcW w:w="1350" w:type="dxa"/>
            <w:noWrap/>
          </w:tcPr>
          <w:p w14:paraId="5C445F3B" w14:textId="1810CD8D" w:rsidR="00FF40D1" w:rsidRPr="00473AD0" w:rsidRDefault="00FF40D1" w:rsidP="0058481E">
            <w:pPr>
              <w:spacing w:after="120"/>
            </w:pPr>
            <w:r>
              <w:t>10/04/2019</w:t>
            </w:r>
          </w:p>
        </w:tc>
        <w:tc>
          <w:tcPr>
            <w:tcW w:w="5135" w:type="dxa"/>
          </w:tcPr>
          <w:p w14:paraId="460648CE" w14:textId="13F053AE" w:rsidR="00FF40D1" w:rsidRPr="00473AD0" w:rsidRDefault="00FF40D1" w:rsidP="00EB594B">
            <w:pPr>
              <w:spacing w:after="120"/>
              <w:jc w:val="left"/>
            </w:pPr>
            <w:r w:rsidRPr="00EB594B">
              <w:t>HHS is decommissioning the Departmental Contracts Information System (DCIS)</w:t>
            </w:r>
          </w:p>
        </w:tc>
      </w:tr>
      <w:tr w:rsidR="00FF40D1" w:rsidRPr="00473AD0" w14:paraId="1588D162" w14:textId="77777777" w:rsidTr="00FF40D1">
        <w:tblPrEx>
          <w:jc w:val="left"/>
        </w:tblPrEx>
        <w:trPr>
          <w:trHeight w:val="290"/>
        </w:trPr>
        <w:tc>
          <w:tcPr>
            <w:tcW w:w="890" w:type="dxa"/>
            <w:noWrap/>
            <w:hideMark/>
          </w:tcPr>
          <w:p w14:paraId="4AE29BE0" w14:textId="35164082" w:rsidR="00FF40D1" w:rsidRPr="00473AD0" w:rsidRDefault="00FF40D1" w:rsidP="0058481E">
            <w:pPr>
              <w:spacing w:after="120"/>
            </w:pPr>
            <w:r>
              <w:lastRenderedPageBreak/>
              <w:t>20-02</w:t>
            </w:r>
          </w:p>
        </w:tc>
        <w:tc>
          <w:tcPr>
            <w:tcW w:w="3510" w:type="dxa"/>
            <w:noWrap/>
            <w:hideMark/>
          </w:tcPr>
          <w:p w14:paraId="7282C899" w14:textId="7455D943" w:rsidR="00FF40D1" w:rsidRPr="00473AD0" w:rsidRDefault="00FF40D1" w:rsidP="00EB594B">
            <w:pPr>
              <w:spacing w:after="75" w:line="264" w:lineRule="auto"/>
              <w:jc w:val="left"/>
            </w:pPr>
            <w:r w:rsidRPr="00EB594B">
              <w:t>Policy Flash from the HHS Office of Acquisition Policy - Product Service Codes (PSCs)</w:t>
            </w:r>
          </w:p>
        </w:tc>
        <w:tc>
          <w:tcPr>
            <w:tcW w:w="1350" w:type="dxa"/>
            <w:noWrap/>
          </w:tcPr>
          <w:p w14:paraId="1E5688D3" w14:textId="7B1A788E" w:rsidR="00FF40D1" w:rsidRPr="00473AD0" w:rsidRDefault="00FF40D1" w:rsidP="0058481E">
            <w:pPr>
              <w:spacing w:after="120"/>
            </w:pPr>
            <w:r>
              <w:t>10/04/2019</w:t>
            </w:r>
          </w:p>
        </w:tc>
        <w:tc>
          <w:tcPr>
            <w:tcW w:w="5135" w:type="dxa"/>
          </w:tcPr>
          <w:p w14:paraId="3CCCBD59" w14:textId="154FA9A4" w:rsidR="00FF40D1" w:rsidRPr="00473AD0" w:rsidRDefault="00FF40D1" w:rsidP="00EB594B">
            <w:pPr>
              <w:spacing w:after="120"/>
              <w:jc w:val="left"/>
            </w:pPr>
            <w:r>
              <w:t xml:space="preserve">Selection of the most accurate, precise and descriptive Product Service Code (PSC), </w:t>
            </w:r>
          </w:p>
        </w:tc>
      </w:tr>
      <w:tr w:rsidR="00FF40D1" w:rsidRPr="00473AD0" w14:paraId="2AE62479" w14:textId="77777777" w:rsidTr="00FF40D1">
        <w:tblPrEx>
          <w:jc w:val="left"/>
        </w:tblPrEx>
        <w:trPr>
          <w:trHeight w:val="290"/>
        </w:trPr>
        <w:tc>
          <w:tcPr>
            <w:tcW w:w="890" w:type="dxa"/>
            <w:noWrap/>
            <w:hideMark/>
          </w:tcPr>
          <w:p w14:paraId="3CD54C1B" w14:textId="404F9C85" w:rsidR="00FF40D1" w:rsidRPr="00473AD0" w:rsidRDefault="00FF40D1" w:rsidP="0058481E">
            <w:pPr>
              <w:spacing w:after="120"/>
            </w:pPr>
            <w:r>
              <w:t>20-03</w:t>
            </w:r>
          </w:p>
        </w:tc>
        <w:tc>
          <w:tcPr>
            <w:tcW w:w="3510" w:type="dxa"/>
            <w:noWrap/>
            <w:hideMark/>
          </w:tcPr>
          <w:p w14:paraId="5DD587CA" w14:textId="7682490C" w:rsidR="00FF40D1" w:rsidRPr="00473AD0" w:rsidRDefault="00FF40D1" w:rsidP="00EB594B">
            <w:pPr>
              <w:spacing w:after="75" w:line="264" w:lineRule="auto"/>
              <w:jc w:val="left"/>
            </w:pPr>
            <w:r w:rsidRPr="00EB594B">
              <w:t>DCIS Alert - New FPDS-NG Guidance on Determining the Principal Place of Performance – DCIS/FPDS Item (9) - Webinar Event</w:t>
            </w:r>
          </w:p>
        </w:tc>
        <w:tc>
          <w:tcPr>
            <w:tcW w:w="1350" w:type="dxa"/>
            <w:noWrap/>
          </w:tcPr>
          <w:p w14:paraId="63C7445F" w14:textId="37E2D45E" w:rsidR="00FF40D1" w:rsidRPr="00473AD0" w:rsidRDefault="00FF40D1" w:rsidP="0058481E">
            <w:pPr>
              <w:spacing w:after="120"/>
            </w:pPr>
            <w:r>
              <w:t>10/07/2019</w:t>
            </w:r>
          </w:p>
        </w:tc>
        <w:tc>
          <w:tcPr>
            <w:tcW w:w="5135" w:type="dxa"/>
          </w:tcPr>
          <w:p w14:paraId="6E96D13E" w14:textId="6FD322A5" w:rsidR="00FF40D1" w:rsidRPr="00473AD0" w:rsidRDefault="00FF40D1" w:rsidP="00EB594B">
            <w:pPr>
              <w:spacing w:after="120"/>
              <w:jc w:val="left"/>
            </w:pPr>
            <w:proofErr w:type="spellStart"/>
            <w:r w:rsidRPr="00EB594B">
              <w:t>PotomacWave</w:t>
            </w:r>
            <w:proofErr w:type="spellEnd"/>
            <w:r w:rsidRPr="00EB594B">
              <w:t xml:space="preserve"> Inc. will be hosting a webinar on Thursday, October 17th</w:t>
            </w:r>
          </w:p>
        </w:tc>
      </w:tr>
      <w:tr w:rsidR="00FF40D1" w:rsidRPr="00473AD0" w14:paraId="0475A16C" w14:textId="77777777" w:rsidTr="00FF40D1">
        <w:tblPrEx>
          <w:jc w:val="left"/>
        </w:tblPrEx>
        <w:trPr>
          <w:trHeight w:val="290"/>
        </w:trPr>
        <w:tc>
          <w:tcPr>
            <w:tcW w:w="890" w:type="dxa"/>
            <w:noWrap/>
          </w:tcPr>
          <w:p w14:paraId="5A11EDA1" w14:textId="4A05C76F" w:rsidR="00FF40D1" w:rsidRPr="00473AD0" w:rsidRDefault="00FF40D1" w:rsidP="0058481E">
            <w:pPr>
              <w:spacing w:after="120"/>
            </w:pPr>
            <w:r>
              <w:t>20-04</w:t>
            </w:r>
          </w:p>
        </w:tc>
        <w:tc>
          <w:tcPr>
            <w:tcW w:w="3510" w:type="dxa"/>
            <w:noWrap/>
          </w:tcPr>
          <w:p w14:paraId="7CD611C0" w14:textId="5CE84BB3" w:rsidR="00FF40D1" w:rsidRPr="00473AD0" w:rsidRDefault="00FF40D1" w:rsidP="00EB594B">
            <w:pPr>
              <w:spacing w:after="75" w:line="264" w:lineRule="auto"/>
              <w:jc w:val="left"/>
            </w:pPr>
            <w:r w:rsidRPr="00EB594B">
              <w:t xml:space="preserve">DCIS Alert </w:t>
            </w:r>
            <w:proofErr w:type="gramStart"/>
            <w:r w:rsidRPr="00EB594B">
              <w:t>-  Discrepancies</w:t>
            </w:r>
            <w:proofErr w:type="gramEnd"/>
            <w:r w:rsidRPr="00EB594B">
              <w:t xml:space="preserve"> Between FPDS-NG and FAPIIS on Reported Terminations for Cause and Default - Webinar Event</w:t>
            </w:r>
          </w:p>
        </w:tc>
        <w:tc>
          <w:tcPr>
            <w:tcW w:w="1350" w:type="dxa"/>
            <w:noWrap/>
          </w:tcPr>
          <w:p w14:paraId="3B73F1E7" w14:textId="7A813D66" w:rsidR="00FF40D1" w:rsidRPr="00473AD0" w:rsidRDefault="00FF40D1" w:rsidP="0058481E">
            <w:pPr>
              <w:spacing w:after="120"/>
            </w:pPr>
            <w:r>
              <w:t>10/25/2019</w:t>
            </w:r>
          </w:p>
        </w:tc>
        <w:tc>
          <w:tcPr>
            <w:tcW w:w="5135" w:type="dxa"/>
          </w:tcPr>
          <w:p w14:paraId="1E7187DB" w14:textId="51B6F23C" w:rsidR="00FF40D1" w:rsidRPr="00473AD0" w:rsidRDefault="00FF40D1" w:rsidP="00EB594B">
            <w:pPr>
              <w:spacing w:after="120"/>
              <w:jc w:val="left"/>
            </w:pPr>
            <w:proofErr w:type="spellStart"/>
            <w:r w:rsidRPr="00EB594B">
              <w:t>PotomacWave</w:t>
            </w:r>
            <w:proofErr w:type="spellEnd"/>
            <w:r w:rsidRPr="00EB594B">
              <w:t xml:space="preserve"> Inc. will be hosting a webinar on Thursday, October 31st</w:t>
            </w:r>
          </w:p>
        </w:tc>
      </w:tr>
      <w:tr w:rsidR="00FF40D1" w:rsidRPr="00473AD0" w14:paraId="2BD08D1C" w14:textId="77777777" w:rsidTr="00FF40D1">
        <w:tblPrEx>
          <w:jc w:val="left"/>
        </w:tblPrEx>
        <w:trPr>
          <w:trHeight w:val="485"/>
        </w:trPr>
        <w:tc>
          <w:tcPr>
            <w:tcW w:w="890" w:type="dxa"/>
            <w:noWrap/>
          </w:tcPr>
          <w:p w14:paraId="2FBE5CF0" w14:textId="10E4023D" w:rsidR="00FF40D1" w:rsidRPr="00473AD0" w:rsidRDefault="00FF40D1" w:rsidP="0058481E">
            <w:pPr>
              <w:spacing w:after="120"/>
            </w:pPr>
            <w:r>
              <w:t>20-05</w:t>
            </w:r>
          </w:p>
        </w:tc>
        <w:tc>
          <w:tcPr>
            <w:tcW w:w="3510" w:type="dxa"/>
            <w:noWrap/>
          </w:tcPr>
          <w:p w14:paraId="35003F93" w14:textId="3B46C6AC" w:rsidR="00FF40D1" w:rsidRPr="00473AD0" w:rsidRDefault="00FF40D1" w:rsidP="00EB594B">
            <w:pPr>
              <w:spacing w:after="75" w:line="264" w:lineRule="auto"/>
              <w:jc w:val="left"/>
            </w:pPr>
            <w:r w:rsidRPr="00EB594B">
              <w:t xml:space="preserve">DCIS Alert </w:t>
            </w:r>
            <w:proofErr w:type="gramStart"/>
            <w:r w:rsidRPr="00EB594B">
              <w:t>-  FPDS</w:t>
            </w:r>
            <w:proofErr w:type="gramEnd"/>
            <w:r w:rsidRPr="00EB594B">
              <w:t xml:space="preserve"> Validation has been turned off</w:t>
            </w:r>
          </w:p>
        </w:tc>
        <w:tc>
          <w:tcPr>
            <w:tcW w:w="1350" w:type="dxa"/>
            <w:noWrap/>
          </w:tcPr>
          <w:p w14:paraId="6593C2D1" w14:textId="0E51A8C7" w:rsidR="00FF40D1" w:rsidRPr="00473AD0" w:rsidRDefault="00FF40D1" w:rsidP="0058481E">
            <w:pPr>
              <w:spacing w:after="120"/>
            </w:pPr>
            <w:r>
              <w:t>10/31/2019</w:t>
            </w:r>
          </w:p>
        </w:tc>
        <w:tc>
          <w:tcPr>
            <w:tcW w:w="5135" w:type="dxa"/>
          </w:tcPr>
          <w:p w14:paraId="1FC38BA2" w14:textId="292B5417" w:rsidR="00FF40D1" w:rsidRPr="00473AD0" w:rsidRDefault="00FF40D1" w:rsidP="00EB594B">
            <w:pPr>
              <w:spacing w:after="120"/>
              <w:jc w:val="left"/>
            </w:pPr>
            <w:r w:rsidRPr="00EB594B">
              <w:t>The FPDS validation button for reporting awards has been disabled</w:t>
            </w:r>
          </w:p>
        </w:tc>
      </w:tr>
      <w:tr w:rsidR="00FF40D1" w:rsidRPr="00473AD0" w14:paraId="3F199A6E" w14:textId="77777777" w:rsidTr="00FF40D1">
        <w:tblPrEx>
          <w:jc w:val="left"/>
        </w:tblPrEx>
        <w:trPr>
          <w:trHeight w:val="290"/>
        </w:trPr>
        <w:tc>
          <w:tcPr>
            <w:tcW w:w="890" w:type="dxa"/>
            <w:noWrap/>
          </w:tcPr>
          <w:p w14:paraId="7AC23B0B" w14:textId="353CA944" w:rsidR="00FF40D1" w:rsidRPr="00473AD0" w:rsidRDefault="00FF40D1" w:rsidP="0058481E">
            <w:pPr>
              <w:spacing w:after="120"/>
            </w:pPr>
            <w:r>
              <w:t>20-06</w:t>
            </w:r>
          </w:p>
        </w:tc>
        <w:tc>
          <w:tcPr>
            <w:tcW w:w="3510" w:type="dxa"/>
            <w:noWrap/>
          </w:tcPr>
          <w:p w14:paraId="086006F7" w14:textId="5EF7F6B2" w:rsidR="00FF40D1" w:rsidRPr="00473AD0" w:rsidRDefault="00FF40D1" w:rsidP="00EB594B">
            <w:pPr>
              <w:spacing w:after="75" w:line="264" w:lineRule="auto"/>
              <w:jc w:val="left"/>
            </w:pPr>
            <w:r w:rsidRPr="00EB594B">
              <w:t>DCIS Alert - Connectivity - RESOLVED</w:t>
            </w:r>
          </w:p>
        </w:tc>
        <w:tc>
          <w:tcPr>
            <w:tcW w:w="1350" w:type="dxa"/>
            <w:noWrap/>
          </w:tcPr>
          <w:p w14:paraId="66F7EFD8" w14:textId="722591CD" w:rsidR="00FF40D1" w:rsidRPr="00473AD0" w:rsidRDefault="00EB594B" w:rsidP="0058481E">
            <w:pPr>
              <w:spacing w:after="120"/>
            </w:pPr>
            <w:r>
              <w:t>11</w:t>
            </w:r>
            <w:r w:rsidR="00FF40D1">
              <w:t>/</w:t>
            </w:r>
            <w:r>
              <w:t>04</w:t>
            </w:r>
            <w:r w:rsidR="00FF40D1">
              <w:t>/2019</w:t>
            </w:r>
          </w:p>
        </w:tc>
        <w:tc>
          <w:tcPr>
            <w:tcW w:w="5135" w:type="dxa"/>
          </w:tcPr>
          <w:p w14:paraId="694960F6" w14:textId="1A226EB0" w:rsidR="00FF40D1" w:rsidRPr="00473AD0" w:rsidRDefault="00EB594B" w:rsidP="00EB594B">
            <w:pPr>
              <w:spacing w:after="75" w:line="264" w:lineRule="auto"/>
              <w:jc w:val="left"/>
            </w:pPr>
            <w:r w:rsidRPr="00EB594B">
              <w:t>DCIS Connectivity issue has been RESOLVED</w:t>
            </w:r>
          </w:p>
        </w:tc>
      </w:tr>
      <w:tr w:rsidR="00FF40D1" w:rsidRPr="00473AD0" w14:paraId="774B1A0C" w14:textId="77777777" w:rsidTr="00FF40D1">
        <w:tblPrEx>
          <w:jc w:val="left"/>
        </w:tblPrEx>
        <w:trPr>
          <w:trHeight w:val="290"/>
        </w:trPr>
        <w:tc>
          <w:tcPr>
            <w:tcW w:w="890" w:type="dxa"/>
            <w:noWrap/>
          </w:tcPr>
          <w:p w14:paraId="5446385D" w14:textId="37F767B0" w:rsidR="00FF40D1" w:rsidRPr="00473AD0" w:rsidRDefault="00EB594B" w:rsidP="0058481E">
            <w:pPr>
              <w:spacing w:after="120"/>
            </w:pPr>
            <w:r>
              <w:t>20-07</w:t>
            </w:r>
          </w:p>
        </w:tc>
        <w:tc>
          <w:tcPr>
            <w:tcW w:w="3510" w:type="dxa"/>
            <w:noWrap/>
          </w:tcPr>
          <w:p w14:paraId="24ED2FCA" w14:textId="1FD24532" w:rsidR="00FF40D1" w:rsidRPr="00473AD0" w:rsidRDefault="00EB594B" w:rsidP="00EB594B">
            <w:pPr>
              <w:spacing w:after="75" w:line="264" w:lineRule="auto"/>
              <w:jc w:val="left"/>
            </w:pPr>
            <w:r w:rsidRPr="00EB594B">
              <w:t>DCIS Alert – R&amp;D Human Subjects Involvement - NIH Field 115 UPDATE</w:t>
            </w:r>
          </w:p>
        </w:tc>
        <w:tc>
          <w:tcPr>
            <w:tcW w:w="1350" w:type="dxa"/>
            <w:noWrap/>
          </w:tcPr>
          <w:p w14:paraId="3A4F105B" w14:textId="1964E725" w:rsidR="00FF40D1" w:rsidRPr="00473AD0" w:rsidRDefault="00EB594B" w:rsidP="0058481E">
            <w:pPr>
              <w:spacing w:after="120"/>
            </w:pPr>
            <w:r>
              <w:t>11/05/2019</w:t>
            </w:r>
          </w:p>
        </w:tc>
        <w:tc>
          <w:tcPr>
            <w:tcW w:w="5135" w:type="dxa"/>
          </w:tcPr>
          <w:p w14:paraId="063340D7" w14:textId="4874D013" w:rsidR="00FF40D1" w:rsidRPr="00473AD0" w:rsidRDefault="00EB594B" w:rsidP="00EB594B">
            <w:pPr>
              <w:spacing w:after="120"/>
              <w:jc w:val="left"/>
            </w:pPr>
            <w:r w:rsidRPr="00EB594B">
              <w:t>The NIH Human Subjects Involvement field, NIH field 115, has been updated to retire two values</w:t>
            </w:r>
          </w:p>
        </w:tc>
      </w:tr>
      <w:tr w:rsidR="00FF40D1" w:rsidRPr="00473AD0" w14:paraId="48C191D7" w14:textId="77777777" w:rsidTr="00FF40D1">
        <w:tblPrEx>
          <w:jc w:val="left"/>
        </w:tblPrEx>
        <w:trPr>
          <w:trHeight w:val="530"/>
        </w:trPr>
        <w:tc>
          <w:tcPr>
            <w:tcW w:w="890" w:type="dxa"/>
            <w:noWrap/>
          </w:tcPr>
          <w:p w14:paraId="17332311" w14:textId="3C144C9A" w:rsidR="00FF40D1" w:rsidRPr="00473AD0" w:rsidRDefault="00EB594B" w:rsidP="0058481E">
            <w:pPr>
              <w:spacing w:after="120"/>
            </w:pPr>
            <w:r>
              <w:t>20-08</w:t>
            </w:r>
          </w:p>
        </w:tc>
        <w:tc>
          <w:tcPr>
            <w:tcW w:w="3510" w:type="dxa"/>
            <w:noWrap/>
          </w:tcPr>
          <w:p w14:paraId="1FD4FB73" w14:textId="0792CA2A" w:rsidR="00FF40D1" w:rsidRPr="00473AD0" w:rsidRDefault="00EB594B" w:rsidP="00EB594B">
            <w:pPr>
              <w:spacing w:after="75" w:line="264" w:lineRule="auto"/>
              <w:jc w:val="left"/>
            </w:pPr>
            <w:r w:rsidRPr="00EB594B">
              <w:t>DCIS Alert - Termination for Default vs. Termination for Cause -- the same result for vendor, so what's the difference? - Webinar Event</w:t>
            </w:r>
          </w:p>
        </w:tc>
        <w:tc>
          <w:tcPr>
            <w:tcW w:w="1350" w:type="dxa"/>
            <w:noWrap/>
          </w:tcPr>
          <w:p w14:paraId="48BF2E10" w14:textId="2BABC7E4" w:rsidR="00FF40D1" w:rsidRPr="00473AD0" w:rsidRDefault="00EB594B" w:rsidP="0058481E">
            <w:pPr>
              <w:spacing w:after="120"/>
            </w:pPr>
            <w:r>
              <w:t>11</w:t>
            </w:r>
            <w:r w:rsidR="00FF40D1">
              <w:t>/</w:t>
            </w:r>
            <w:r>
              <w:t>06</w:t>
            </w:r>
            <w:r w:rsidR="00FF40D1">
              <w:t>/2019</w:t>
            </w:r>
          </w:p>
        </w:tc>
        <w:tc>
          <w:tcPr>
            <w:tcW w:w="5135" w:type="dxa"/>
          </w:tcPr>
          <w:p w14:paraId="6956F9FF" w14:textId="381E6F4B" w:rsidR="00FF40D1" w:rsidRPr="00473AD0" w:rsidRDefault="00EB594B" w:rsidP="00EB594B">
            <w:pPr>
              <w:spacing w:after="120"/>
              <w:jc w:val="left"/>
            </w:pPr>
            <w:proofErr w:type="spellStart"/>
            <w:r w:rsidRPr="00EB594B">
              <w:t>PotomacWave</w:t>
            </w:r>
            <w:proofErr w:type="spellEnd"/>
            <w:r w:rsidRPr="00EB594B">
              <w:t xml:space="preserve"> Inc. will be hosting a webinar on Thursday, November 14th</w:t>
            </w:r>
          </w:p>
        </w:tc>
      </w:tr>
      <w:bookmarkEnd w:id="1"/>
    </w:tbl>
    <w:p w14:paraId="7C37D830" w14:textId="77777777" w:rsidR="00135FE0" w:rsidRPr="00AC6723" w:rsidRDefault="00135FE0" w:rsidP="00135FE0">
      <w:pPr>
        <w:pStyle w:val="Pa1"/>
        <w:jc w:val="both"/>
        <w:rPr>
          <w:rFonts w:ascii="Times New Roman" w:hAnsi="Times New Roman" w:cs="Times New Roman"/>
        </w:rPr>
      </w:pPr>
    </w:p>
    <w:p w14:paraId="54537E19" w14:textId="77777777" w:rsidR="00CF32EE" w:rsidRPr="00717AF1" w:rsidRDefault="00CF32EE" w:rsidP="00CF32EE">
      <w:pPr>
        <w:pStyle w:val="Heading1"/>
        <w:jc w:val="left"/>
        <w:rPr>
          <w:rFonts w:eastAsia="Times New Roman"/>
        </w:rPr>
      </w:pPr>
      <w:r w:rsidRPr="00717AF1">
        <w:rPr>
          <w:rFonts w:eastAsia="Times New Roman"/>
        </w:rPr>
        <w:t>Acquisition Training at NIH</w:t>
      </w:r>
    </w:p>
    <w:p w14:paraId="22196CEF" w14:textId="77777777" w:rsidR="00CF32EE" w:rsidRPr="00717AF1" w:rsidRDefault="00CF32EE" w:rsidP="00CF32EE">
      <w:pPr>
        <w:rPr>
          <w:color w:val="0000FF"/>
          <w:spacing w:val="-1"/>
          <w:u w:val="single" w:color="0000FF"/>
        </w:rPr>
      </w:pPr>
      <w:r w:rsidRPr="00717AF1">
        <w:rPr>
          <w:spacing w:val="1"/>
        </w:rPr>
        <w:t>A</w:t>
      </w:r>
      <w:r w:rsidRPr="00717AF1">
        <w:t>c</w:t>
      </w:r>
      <w:r w:rsidRPr="00717AF1">
        <w:rPr>
          <w:spacing w:val="-1"/>
        </w:rPr>
        <w:t>q</w:t>
      </w:r>
      <w:r w:rsidRPr="00717AF1">
        <w:rPr>
          <w:spacing w:val="1"/>
        </w:rPr>
        <w:t>u</w:t>
      </w:r>
      <w:r w:rsidRPr="00717AF1">
        <w:rPr>
          <w:spacing w:val="-1"/>
        </w:rPr>
        <w:t>i</w:t>
      </w:r>
      <w:r w:rsidRPr="00717AF1">
        <w:t>s</w:t>
      </w:r>
      <w:r w:rsidRPr="00717AF1">
        <w:rPr>
          <w:spacing w:val="-1"/>
        </w:rPr>
        <w:t>i</w:t>
      </w:r>
      <w:r w:rsidRPr="00717AF1">
        <w:rPr>
          <w:spacing w:val="1"/>
        </w:rPr>
        <w:t>t</w:t>
      </w:r>
      <w:r w:rsidRPr="00717AF1">
        <w:rPr>
          <w:spacing w:val="-1"/>
        </w:rPr>
        <w:t>i</w:t>
      </w:r>
      <w:r w:rsidRPr="00717AF1">
        <w:rPr>
          <w:spacing w:val="1"/>
        </w:rPr>
        <w:t>o</w:t>
      </w:r>
      <w:r w:rsidRPr="00717AF1">
        <w:t>n</w:t>
      </w:r>
      <w:r w:rsidRPr="00717AF1">
        <w:rPr>
          <w:spacing w:val="2"/>
        </w:rPr>
        <w:t xml:space="preserve"> T</w:t>
      </w:r>
      <w:r w:rsidRPr="00717AF1">
        <w:rPr>
          <w:spacing w:val="-3"/>
        </w:rPr>
        <w:t>r</w:t>
      </w:r>
      <w:r w:rsidRPr="00717AF1">
        <w:rPr>
          <w:spacing w:val="1"/>
        </w:rPr>
        <w:t>a</w:t>
      </w:r>
      <w:r w:rsidRPr="00717AF1">
        <w:rPr>
          <w:spacing w:val="-1"/>
        </w:rPr>
        <w:t>i</w:t>
      </w:r>
      <w:r w:rsidRPr="00717AF1">
        <w:rPr>
          <w:spacing w:val="1"/>
        </w:rPr>
        <w:t>n</w:t>
      </w:r>
      <w:r w:rsidRPr="00717AF1">
        <w:rPr>
          <w:spacing w:val="-1"/>
        </w:rPr>
        <w:t>i</w:t>
      </w:r>
      <w:r w:rsidRPr="00717AF1">
        <w:rPr>
          <w:spacing w:val="1"/>
        </w:rPr>
        <w:t>n</w:t>
      </w:r>
      <w:r w:rsidRPr="00717AF1">
        <w:t>g</w:t>
      </w:r>
      <w:r w:rsidRPr="00717AF1">
        <w:rPr>
          <w:spacing w:val="-1"/>
        </w:rPr>
        <w:t xml:space="preserve"> Cl</w:t>
      </w:r>
      <w:r w:rsidRPr="00717AF1">
        <w:rPr>
          <w:spacing w:val="1"/>
        </w:rPr>
        <w:t>a</w:t>
      </w:r>
      <w:r w:rsidRPr="00717AF1">
        <w:t>ss</w:t>
      </w:r>
      <w:r w:rsidRPr="00717AF1">
        <w:rPr>
          <w:spacing w:val="1"/>
        </w:rPr>
        <w:t>e</w:t>
      </w:r>
      <w:r w:rsidRPr="00717AF1">
        <w:t>s</w:t>
      </w:r>
      <w:r w:rsidRPr="00717AF1">
        <w:rPr>
          <w:spacing w:val="1"/>
        </w:rPr>
        <w:t xml:space="preserve"> that are offered by the NIH Training Center </w:t>
      </w:r>
      <w:r w:rsidRPr="00717AF1">
        <w:t>can</w:t>
      </w:r>
      <w:r w:rsidRPr="00717AF1">
        <w:rPr>
          <w:spacing w:val="2"/>
        </w:rPr>
        <w:t xml:space="preserve"> </w:t>
      </w:r>
      <w:r w:rsidRPr="00717AF1">
        <w:rPr>
          <w:spacing w:val="-1"/>
        </w:rPr>
        <w:t>b</w:t>
      </w:r>
      <w:r w:rsidRPr="00717AF1">
        <w:t>e</w:t>
      </w:r>
      <w:r w:rsidRPr="00717AF1">
        <w:rPr>
          <w:spacing w:val="2"/>
        </w:rPr>
        <w:t xml:space="preserve"> </w:t>
      </w:r>
      <w:r w:rsidRPr="00717AF1">
        <w:rPr>
          <w:spacing w:val="1"/>
        </w:rPr>
        <w:t>a</w:t>
      </w:r>
      <w:r w:rsidRPr="00717AF1">
        <w:t>c</w:t>
      </w:r>
      <w:r w:rsidRPr="00717AF1">
        <w:rPr>
          <w:spacing w:val="-2"/>
        </w:rPr>
        <w:t>c</w:t>
      </w:r>
      <w:r w:rsidRPr="00717AF1">
        <w:rPr>
          <w:spacing w:val="1"/>
        </w:rPr>
        <w:t>e</w:t>
      </w:r>
      <w:r w:rsidRPr="00717AF1">
        <w:t>ss</w:t>
      </w:r>
      <w:r w:rsidRPr="00717AF1">
        <w:rPr>
          <w:spacing w:val="-1"/>
        </w:rPr>
        <w:t>e</w:t>
      </w:r>
      <w:r w:rsidRPr="00717AF1">
        <w:t>d</w:t>
      </w:r>
      <w:r w:rsidRPr="00717AF1">
        <w:rPr>
          <w:spacing w:val="2"/>
        </w:rPr>
        <w:t xml:space="preserve"> </w:t>
      </w:r>
      <w:r w:rsidRPr="00717AF1">
        <w:rPr>
          <w:spacing w:val="1"/>
        </w:rPr>
        <w:t>a</w:t>
      </w:r>
      <w:r w:rsidRPr="00717AF1">
        <w:t>t</w:t>
      </w:r>
      <w:r w:rsidRPr="00717AF1">
        <w:rPr>
          <w:spacing w:val="-1"/>
        </w:rPr>
        <w:t xml:space="preserve"> </w:t>
      </w:r>
      <w:r w:rsidRPr="00717AF1">
        <w:rPr>
          <w:spacing w:val="1"/>
        </w:rPr>
        <w:t>th</w:t>
      </w:r>
      <w:r w:rsidRPr="00717AF1">
        <w:t>e</w:t>
      </w:r>
      <w:r w:rsidRPr="00717AF1">
        <w:rPr>
          <w:spacing w:val="-3"/>
        </w:rPr>
        <w:t xml:space="preserve"> </w:t>
      </w:r>
      <w:r w:rsidRPr="00717AF1">
        <w:rPr>
          <w:spacing w:val="3"/>
        </w:rPr>
        <w:t>f</w:t>
      </w:r>
      <w:r w:rsidRPr="00717AF1">
        <w:rPr>
          <w:spacing w:val="1"/>
        </w:rPr>
        <w:t>o</w:t>
      </w:r>
      <w:r w:rsidRPr="00717AF1">
        <w:rPr>
          <w:spacing w:val="-1"/>
        </w:rPr>
        <w:t>ll</w:t>
      </w:r>
      <w:r w:rsidRPr="00717AF1">
        <w:rPr>
          <w:spacing w:val="1"/>
        </w:rPr>
        <w:t>o</w:t>
      </w:r>
      <w:r w:rsidRPr="00717AF1">
        <w:rPr>
          <w:spacing w:val="-3"/>
        </w:rPr>
        <w:t>w</w:t>
      </w:r>
      <w:r w:rsidRPr="00717AF1">
        <w:rPr>
          <w:spacing w:val="-1"/>
        </w:rPr>
        <w:t>i</w:t>
      </w:r>
      <w:r w:rsidRPr="00717AF1">
        <w:rPr>
          <w:spacing w:val="1"/>
        </w:rPr>
        <w:t xml:space="preserve">ng </w:t>
      </w:r>
      <w:r w:rsidRPr="00717AF1">
        <w:t>li</w:t>
      </w:r>
      <w:r w:rsidRPr="00717AF1">
        <w:rPr>
          <w:spacing w:val="1"/>
        </w:rPr>
        <w:t>n</w:t>
      </w:r>
      <w:r w:rsidRPr="00717AF1">
        <w:t xml:space="preserve">k: </w:t>
      </w:r>
      <w:r w:rsidRPr="00717AF1">
        <w:rPr>
          <w:color w:val="0000FF"/>
          <w:spacing w:val="-65"/>
        </w:rPr>
        <w:t xml:space="preserve"> </w:t>
      </w:r>
      <w:hyperlink r:id="rId14" w:tooltip="Acquisition Management Training" w:history="1">
        <w:r w:rsidRPr="00717AF1">
          <w:rPr>
            <w:color w:val="0563C1"/>
            <w:spacing w:val="-1"/>
            <w:u w:val="single"/>
          </w:rPr>
          <w:t>Acquisition Management Training</w:t>
        </w:r>
      </w:hyperlink>
    </w:p>
    <w:p w14:paraId="4474DD39" w14:textId="48F0E6CC" w:rsidR="00CF32EE" w:rsidRPr="00717AF1" w:rsidRDefault="00CF32EE" w:rsidP="00CF32EE">
      <w:pPr>
        <w:rPr>
          <w:rFonts w:eastAsia="Times New Roman"/>
        </w:rPr>
      </w:pPr>
      <w:r w:rsidRPr="00717AF1">
        <w:rPr>
          <w:rFonts w:eastAsia="Times New Roman"/>
        </w:rPr>
        <w:t>Federal Acquisition Certification Coursework</w:t>
      </w:r>
      <w:r w:rsidR="00070529">
        <w:rPr>
          <w:rFonts w:eastAsia="Times New Roman"/>
        </w:rPr>
        <w:t xml:space="preserve"> </w:t>
      </w:r>
    </w:p>
    <w:p w14:paraId="5257A9B9" w14:textId="77777777" w:rsidR="00CF32EE" w:rsidRPr="00717AF1" w:rsidRDefault="00CF32EE" w:rsidP="00CF32EE">
      <w:pPr>
        <w:rPr>
          <w:rFonts w:ascii="Arial" w:hAnsi="Arial" w:cs="Arial"/>
          <w:szCs w:val="24"/>
        </w:rPr>
      </w:pPr>
      <w:r w:rsidRPr="004D1E09">
        <w:t xml:space="preserve">CON courses and other Federal Acquisition Certification required courses can be found at the </w:t>
      </w:r>
      <w:hyperlink r:id="rId15" w:tooltip="NIH Training Center" w:history="1">
        <w:r w:rsidRPr="004D1E09">
          <w:rPr>
            <w:rStyle w:val="Hyperlink"/>
          </w:rPr>
          <w:t>NIH Training Center</w:t>
        </w:r>
      </w:hyperlink>
      <w:r w:rsidRPr="004D1E09">
        <w:t xml:space="preserve">, </w:t>
      </w:r>
      <w:hyperlink r:id="rId16" w:tooltip="Federal Acquisition Institute" w:history="1">
        <w:r w:rsidRPr="004D1E09">
          <w:rPr>
            <w:rStyle w:val="Hyperlink"/>
          </w:rPr>
          <w:t>Federal Acquisition Institute</w:t>
        </w:r>
      </w:hyperlink>
      <w:r w:rsidRPr="004D1E09">
        <w:t xml:space="preserve">, and </w:t>
      </w:r>
      <w:hyperlink r:id="rId17" w:tooltip="Defense Acquisition University" w:history="1">
        <w:r w:rsidRPr="004D1E09">
          <w:rPr>
            <w:rStyle w:val="Hyperlink"/>
          </w:rPr>
          <w:t>Defense Acquisition University</w:t>
        </w:r>
      </w:hyperlink>
      <w:r w:rsidRPr="00717AF1">
        <w:rPr>
          <w:rFonts w:ascii="Arial" w:hAnsi="Arial" w:cs="Arial"/>
          <w:szCs w:val="24"/>
        </w:rPr>
        <w:t>.</w:t>
      </w:r>
    </w:p>
    <w:p w14:paraId="08170C21" w14:textId="77777777" w:rsidR="00CF32EE" w:rsidRPr="00717AF1" w:rsidRDefault="00CF32EE" w:rsidP="00CF32EE">
      <w:r w:rsidRPr="00717AF1">
        <w:t>Section 508 Accessibility Training</w:t>
      </w:r>
    </w:p>
    <w:p w14:paraId="7739135E" w14:textId="77777777" w:rsidR="00CF32EE" w:rsidRPr="00717AF1" w:rsidRDefault="00CF32EE" w:rsidP="00CF32EE">
      <w:r w:rsidRPr="00717AF1">
        <w:t>Section 508 Accessibility Training courses can be accessed at</w:t>
      </w:r>
      <w:bookmarkStart w:id="2" w:name="_Hlk419199521"/>
      <w:r w:rsidRPr="00717AF1">
        <w:t xml:space="preserve">: </w:t>
      </w:r>
      <w:hyperlink r:id="rId18" w:tooltip="CIT 508 Training Webpage" w:history="1">
        <w:bookmarkEnd w:id="2"/>
        <w:r w:rsidRPr="00717AF1">
          <w:rPr>
            <w:color w:val="0563C1"/>
            <w:u w:val="single"/>
          </w:rPr>
          <w:t>CIT Section 508 Accessibility Training Website</w:t>
        </w:r>
      </w:hyperlink>
      <w:r w:rsidRPr="00717AF1">
        <w:t>.</w:t>
      </w:r>
    </w:p>
    <w:p w14:paraId="63A904FE" w14:textId="77777777" w:rsidR="00CF32EE" w:rsidRPr="00717AF1" w:rsidRDefault="00CF32EE" w:rsidP="00CF32EE">
      <w:pPr>
        <w:rPr>
          <w:rFonts w:eastAsia="Times New Roman"/>
        </w:rPr>
      </w:pPr>
      <w:r w:rsidRPr="00717AF1">
        <w:rPr>
          <w:rFonts w:eastAsia="Times New Roman"/>
        </w:rPr>
        <w:t>Green Purchasing Training</w:t>
      </w:r>
    </w:p>
    <w:p w14:paraId="66316A40" w14:textId="77777777" w:rsidR="00CF32EE" w:rsidRPr="001F49D0" w:rsidRDefault="00CF32EE" w:rsidP="001F49D0">
      <w:pPr>
        <w:rPr>
          <w:color w:val="000000"/>
        </w:rPr>
      </w:pPr>
      <w:r w:rsidRPr="00717AF1">
        <w:rPr>
          <w:color w:val="000000"/>
        </w:rPr>
        <w:t xml:space="preserve">Green Purchasing Training and other Green Training courses can be found at: </w:t>
      </w:r>
      <w:hyperlink r:id="rId19" w:tooltip="OALM Green Purchasing Website" w:history="1">
        <w:r w:rsidRPr="00717AF1">
          <w:rPr>
            <w:color w:val="0563C1"/>
            <w:u w:val="single"/>
          </w:rPr>
          <w:t>OALM Green Purchasing Website</w:t>
        </w:r>
      </w:hyperlink>
      <w:r w:rsidRPr="00717AF1">
        <w:rPr>
          <w:color w:val="000000"/>
        </w:rPr>
        <w:t>.</w:t>
      </w:r>
    </w:p>
    <w:p w14:paraId="10C5FB42" w14:textId="77777777" w:rsidR="0043425A" w:rsidRDefault="0043425A" w:rsidP="00CF32EE">
      <w:pPr>
        <w:pStyle w:val="Heading1"/>
        <w:jc w:val="left"/>
        <w:rPr>
          <w:rFonts w:eastAsia="Calibri"/>
          <w:noProof/>
        </w:rPr>
      </w:pPr>
      <w:r>
        <w:rPr>
          <w:rFonts w:eastAsia="Calibri"/>
          <w:noProof/>
        </w:rPr>
        <w:t>News from the BPA Program</w:t>
      </w:r>
    </w:p>
    <w:p w14:paraId="1644DCEF" w14:textId="77777777" w:rsidR="005F2DE6" w:rsidRPr="0043425A" w:rsidRDefault="005F2DE6" w:rsidP="005F2DE6">
      <w:pPr>
        <w:spacing w:line="240" w:lineRule="auto"/>
        <w:contextualSpacing/>
        <w:rPr>
          <w:rFonts w:asciiTheme="minorHAnsi" w:eastAsia="Calibri" w:hAnsiTheme="minorHAnsi" w:cstheme="minorHAnsi"/>
          <w:noProof/>
          <w:szCs w:val="24"/>
        </w:rPr>
      </w:pPr>
      <w:r w:rsidRPr="0043425A">
        <w:rPr>
          <w:rFonts w:asciiTheme="minorHAnsi" w:eastAsia="Calibri" w:hAnsiTheme="minorHAnsi" w:cstheme="minorHAnsi"/>
          <w:noProof/>
          <w:szCs w:val="24"/>
        </w:rPr>
        <w:lastRenderedPageBreak/>
        <w:t>Need to make a quick buy?</w:t>
      </w:r>
    </w:p>
    <w:p w14:paraId="6ADC7B03" w14:textId="77777777" w:rsidR="005F2DE6" w:rsidRPr="0043425A" w:rsidRDefault="005F2DE6" w:rsidP="005F2DE6">
      <w:pPr>
        <w:spacing w:line="240" w:lineRule="auto"/>
        <w:contextualSpacing/>
        <w:rPr>
          <w:rFonts w:asciiTheme="minorHAnsi" w:eastAsia="Calibri" w:hAnsiTheme="minorHAnsi" w:cstheme="minorHAnsi"/>
          <w:noProof/>
          <w:szCs w:val="24"/>
        </w:rPr>
      </w:pPr>
      <w:r w:rsidRPr="0043425A">
        <w:rPr>
          <w:rFonts w:asciiTheme="minorHAnsi" w:eastAsia="Calibri" w:hAnsiTheme="minorHAnsi" w:cstheme="minorHAnsi"/>
          <w:noProof/>
          <w:szCs w:val="24"/>
        </w:rPr>
        <w:t>Looking to create value for your customer?</w:t>
      </w:r>
    </w:p>
    <w:p w14:paraId="27681927" w14:textId="77777777" w:rsidR="005F2DE6" w:rsidRPr="0043425A" w:rsidRDefault="005F2DE6" w:rsidP="005F2DE6">
      <w:pPr>
        <w:spacing w:line="240" w:lineRule="auto"/>
        <w:contextualSpacing/>
        <w:rPr>
          <w:rFonts w:asciiTheme="minorHAnsi" w:eastAsia="Calibri" w:hAnsiTheme="minorHAnsi" w:cstheme="minorHAnsi"/>
          <w:noProof/>
          <w:szCs w:val="24"/>
        </w:rPr>
      </w:pPr>
      <w:r w:rsidRPr="0043425A">
        <w:rPr>
          <w:rFonts w:asciiTheme="minorHAnsi" w:eastAsia="Calibri" w:hAnsiTheme="minorHAnsi" w:cstheme="minorHAnsi"/>
          <w:noProof/>
          <w:szCs w:val="24"/>
        </w:rPr>
        <w:t>Not sure what a BPA is?</w:t>
      </w:r>
    </w:p>
    <w:p w14:paraId="5F99B8C5" w14:textId="17F2901B" w:rsidR="001F49D0" w:rsidRDefault="005F2DE6" w:rsidP="001F49D0">
      <w:pPr>
        <w:spacing w:line="240" w:lineRule="auto"/>
        <w:contextualSpacing/>
        <w:rPr>
          <w:rFonts w:asciiTheme="minorHAnsi" w:eastAsia="Calibri" w:hAnsiTheme="minorHAnsi" w:cstheme="minorHAnsi"/>
          <w:noProof/>
          <w:szCs w:val="24"/>
        </w:rPr>
      </w:pPr>
      <w:r w:rsidRPr="0043425A">
        <w:rPr>
          <w:rFonts w:asciiTheme="minorHAnsi" w:eastAsia="Calibri" w:hAnsiTheme="minorHAnsi" w:cstheme="minorHAnsi"/>
          <w:noProof/>
          <w:szCs w:val="24"/>
        </w:rPr>
        <w:t>Contact the BPA Helpline at 301-496-5212</w:t>
      </w:r>
      <w:r w:rsidR="0000261D">
        <w:rPr>
          <w:rFonts w:asciiTheme="minorHAnsi" w:eastAsia="Calibri" w:hAnsiTheme="minorHAnsi" w:cstheme="minorHAnsi"/>
          <w:noProof/>
          <w:szCs w:val="24"/>
        </w:rPr>
        <w:t xml:space="preserve"> or the Helpdesk </w:t>
      </w:r>
      <w:hyperlink r:id="rId20" w:history="1">
        <w:r w:rsidR="0000261D" w:rsidRPr="00E73EB8">
          <w:rPr>
            <w:rStyle w:val="Hyperlink"/>
            <w:rFonts w:asciiTheme="minorHAnsi" w:eastAsia="Calibri" w:hAnsiTheme="minorHAnsi" w:cstheme="minorHAnsi"/>
            <w:noProof/>
            <w:szCs w:val="24"/>
          </w:rPr>
          <w:t>BPAProgramBranch@od.nih.gov</w:t>
        </w:r>
      </w:hyperlink>
      <w:r w:rsidR="0000261D">
        <w:rPr>
          <w:rFonts w:asciiTheme="minorHAnsi" w:eastAsia="Calibri" w:hAnsiTheme="minorHAnsi" w:cstheme="minorHAnsi"/>
          <w:noProof/>
          <w:szCs w:val="24"/>
        </w:rPr>
        <w:t xml:space="preserve"> </w:t>
      </w:r>
    </w:p>
    <w:p w14:paraId="03AA281E" w14:textId="77777777" w:rsidR="005F2DE6" w:rsidRPr="0043425A" w:rsidRDefault="005F2DE6" w:rsidP="001F49D0">
      <w:pPr>
        <w:pStyle w:val="Heading1"/>
        <w:jc w:val="left"/>
        <w:rPr>
          <w:rFonts w:asciiTheme="minorHAnsi" w:eastAsia="Arial" w:hAnsiTheme="minorHAnsi" w:cstheme="minorHAnsi"/>
          <w:sz w:val="24"/>
          <w:szCs w:val="24"/>
        </w:rPr>
      </w:pPr>
      <w:r w:rsidRPr="0043425A">
        <w:rPr>
          <w:rFonts w:asciiTheme="minorHAnsi" w:eastAsia="Arial" w:hAnsiTheme="minorHAnsi" w:cstheme="minorHAnsi"/>
          <w:sz w:val="24"/>
          <w:szCs w:val="24"/>
        </w:rPr>
        <w:t>NIH</w:t>
      </w:r>
      <w:r w:rsidRPr="0043425A">
        <w:rPr>
          <w:rFonts w:asciiTheme="minorHAnsi" w:eastAsia="Arial" w:hAnsiTheme="minorHAnsi" w:cstheme="minorHAnsi"/>
          <w:spacing w:val="-6"/>
          <w:sz w:val="24"/>
          <w:szCs w:val="24"/>
        </w:rPr>
        <w:t xml:space="preserve"> </w:t>
      </w:r>
      <w:r w:rsidRPr="0043425A">
        <w:rPr>
          <w:rFonts w:asciiTheme="minorHAnsi" w:eastAsia="Arial" w:hAnsiTheme="minorHAnsi" w:cstheme="minorHAnsi"/>
          <w:sz w:val="24"/>
          <w:szCs w:val="24"/>
        </w:rPr>
        <w:t>Bl</w:t>
      </w:r>
      <w:r w:rsidRPr="0043425A">
        <w:rPr>
          <w:rFonts w:asciiTheme="minorHAnsi" w:eastAsia="Arial" w:hAnsiTheme="minorHAnsi" w:cstheme="minorHAnsi"/>
          <w:spacing w:val="2"/>
          <w:sz w:val="24"/>
          <w:szCs w:val="24"/>
        </w:rPr>
        <w:t>a</w:t>
      </w:r>
      <w:r w:rsidRPr="0043425A">
        <w:rPr>
          <w:rFonts w:asciiTheme="minorHAnsi" w:eastAsia="Arial" w:hAnsiTheme="minorHAnsi" w:cstheme="minorHAnsi"/>
          <w:sz w:val="24"/>
          <w:szCs w:val="24"/>
        </w:rPr>
        <w:t>nket</w:t>
      </w:r>
      <w:r w:rsidRPr="0043425A">
        <w:rPr>
          <w:rFonts w:asciiTheme="minorHAnsi" w:eastAsia="Arial" w:hAnsiTheme="minorHAnsi" w:cstheme="minorHAnsi"/>
          <w:spacing w:val="-13"/>
          <w:sz w:val="24"/>
          <w:szCs w:val="24"/>
        </w:rPr>
        <w:t xml:space="preserve"> </w:t>
      </w:r>
      <w:r w:rsidRPr="0043425A">
        <w:rPr>
          <w:rFonts w:asciiTheme="minorHAnsi" w:eastAsia="Arial" w:hAnsiTheme="minorHAnsi" w:cstheme="minorHAnsi"/>
          <w:spacing w:val="3"/>
          <w:sz w:val="24"/>
          <w:szCs w:val="24"/>
        </w:rPr>
        <w:t>P</w:t>
      </w:r>
      <w:r w:rsidRPr="0043425A">
        <w:rPr>
          <w:rFonts w:asciiTheme="minorHAnsi" w:eastAsia="Arial" w:hAnsiTheme="minorHAnsi" w:cstheme="minorHAnsi"/>
          <w:sz w:val="24"/>
          <w:szCs w:val="24"/>
        </w:rPr>
        <w:t>u</w:t>
      </w:r>
      <w:r w:rsidRPr="0043425A">
        <w:rPr>
          <w:rFonts w:asciiTheme="minorHAnsi" w:eastAsia="Arial" w:hAnsiTheme="minorHAnsi" w:cstheme="minorHAnsi"/>
          <w:spacing w:val="2"/>
          <w:sz w:val="24"/>
          <w:szCs w:val="24"/>
        </w:rPr>
        <w:t>r</w:t>
      </w:r>
      <w:r w:rsidRPr="0043425A">
        <w:rPr>
          <w:rFonts w:asciiTheme="minorHAnsi" w:eastAsia="Arial" w:hAnsiTheme="minorHAnsi" w:cstheme="minorHAnsi"/>
          <w:sz w:val="24"/>
          <w:szCs w:val="24"/>
        </w:rPr>
        <w:t>chase</w:t>
      </w:r>
      <w:r w:rsidRPr="0043425A">
        <w:rPr>
          <w:rFonts w:asciiTheme="minorHAnsi" w:eastAsia="Arial" w:hAnsiTheme="minorHAnsi" w:cstheme="minorHAnsi"/>
          <w:spacing w:val="-10"/>
          <w:sz w:val="24"/>
          <w:szCs w:val="24"/>
        </w:rPr>
        <w:t xml:space="preserve"> </w:t>
      </w:r>
      <w:r w:rsidRPr="0043425A">
        <w:rPr>
          <w:rFonts w:asciiTheme="minorHAnsi" w:eastAsia="Arial" w:hAnsiTheme="minorHAnsi" w:cstheme="minorHAnsi"/>
          <w:spacing w:val="-5"/>
          <w:sz w:val="24"/>
          <w:szCs w:val="24"/>
        </w:rPr>
        <w:t>A</w:t>
      </w:r>
      <w:r w:rsidRPr="0043425A">
        <w:rPr>
          <w:rFonts w:asciiTheme="minorHAnsi" w:eastAsia="Arial" w:hAnsiTheme="minorHAnsi" w:cstheme="minorHAnsi"/>
          <w:spacing w:val="2"/>
          <w:sz w:val="24"/>
          <w:szCs w:val="24"/>
        </w:rPr>
        <w:t>g</w:t>
      </w:r>
      <w:r w:rsidRPr="0043425A">
        <w:rPr>
          <w:rFonts w:asciiTheme="minorHAnsi" w:eastAsia="Arial" w:hAnsiTheme="minorHAnsi" w:cstheme="minorHAnsi"/>
          <w:sz w:val="24"/>
          <w:szCs w:val="24"/>
        </w:rPr>
        <w:t>re</w:t>
      </w:r>
      <w:r w:rsidRPr="0043425A">
        <w:rPr>
          <w:rFonts w:asciiTheme="minorHAnsi" w:eastAsia="Arial" w:hAnsiTheme="minorHAnsi" w:cstheme="minorHAnsi"/>
          <w:spacing w:val="3"/>
          <w:sz w:val="24"/>
          <w:szCs w:val="24"/>
        </w:rPr>
        <w:t>e</w:t>
      </w:r>
      <w:r w:rsidRPr="0043425A">
        <w:rPr>
          <w:rFonts w:asciiTheme="minorHAnsi" w:eastAsia="Arial" w:hAnsiTheme="minorHAnsi" w:cstheme="minorHAnsi"/>
          <w:sz w:val="24"/>
          <w:szCs w:val="24"/>
        </w:rPr>
        <w:t>m</w:t>
      </w:r>
      <w:r w:rsidRPr="0043425A">
        <w:rPr>
          <w:rFonts w:asciiTheme="minorHAnsi" w:eastAsia="Arial" w:hAnsiTheme="minorHAnsi" w:cstheme="minorHAnsi"/>
          <w:spacing w:val="2"/>
          <w:sz w:val="24"/>
          <w:szCs w:val="24"/>
        </w:rPr>
        <w:t>e</w:t>
      </w:r>
      <w:r w:rsidRPr="0043425A">
        <w:rPr>
          <w:rFonts w:asciiTheme="minorHAnsi" w:eastAsia="Arial" w:hAnsiTheme="minorHAnsi" w:cstheme="minorHAnsi"/>
          <w:sz w:val="24"/>
          <w:szCs w:val="24"/>
        </w:rPr>
        <w:t>nt</w:t>
      </w:r>
      <w:r w:rsidRPr="0043425A">
        <w:rPr>
          <w:rFonts w:asciiTheme="minorHAnsi" w:eastAsia="Arial" w:hAnsiTheme="minorHAnsi" w:cstheme="minorHAnsi"/>
          <w:spacing w:val="-18"/>
          <w:sz w:val="24"/>
          <w:szCs w:val="24"/>
        </w:rPr>
        <w:t xml:space="preserve"> </w:t>
      </w:r>
      <w:r w:rsidRPr="0043425A">
        <w:rPr>
          <w:rFonts w:asciiTheme="minorHAnsi" w:eastAsia="Arial" w:hAnsiTheme="minorHAnsi" w:cstheme="minorHAnsi"/>
          <w:spacing w:val="2"/>
          <w:sz w:val="24"/>
          <w:szCs w:val="24"/>
        </w:rPr>
        <w:t>(</w:t>
      </w:r>
      <w:r w:rsidRPr="0043425A">
        <w:rPr>
          <w:rFonts w:asciiTheme="minorHAnsi" w:eastAsia="Arial" w:hAnsiTheme="minorHAnsi" w:cstheme="minorHAnsi"/>
          <w:sz w:val="24"/>
          <w:szCs w:val="24"/>
        </w:rPr>
        <w:t>B</w:t>
      </w:r>
      <w:r w:rsidRPr="0043425A">
        <w:rPr>
          <w:rFonts w:asciiTheme="minorHAnsi" w:eastAsia="Arial" w:hAnsiTheme="minorHAnsi" w:cstheme="minorHAnsi"/>
          <w:spacing w:val="5"/>
          <w:sz w:val="24"/>
          <w:szCs w:val="24"/>
        </w:rPr>
        <w:t>P</w:t>
      </w:r>
      <w:r w:rsidRPr="0043425A">
        <w:rPr>
          <w:rFonts w:asciiTheme="minorHAnsi" w:eastAsia="Arial" w:hAnsiTheme="minorHAnsi" w:cstheme="minorHAnsi"/>
          <w:spacing w:val="-7"/>
          <w:sz w:val="24"/>
          <w:szCs w:val="24"/>
        </w:rPr>
        <w:t>A</w:t>
      </w:r>
      <w:r w:rsidRPr="0043425A">
        <w:rPr>
          <w:rFonts w:asciiTheme="minorHAnsi" w:eastAsia="Arial" w:hAnsiTheme="minorHAnsi" w:cstheme="minorHAnsi"/>
          <w:sz w:val="24"/>
          <w:szCs w:val="24"/>
        </w:rPr>
        <w:t>)</w:t>
      </w:r>
      <w:r w:rsidRPr="0043425A">
        <w:rPr>
          <w:rFonts w:asciiTheme="minorHAnsi" w:eastAsia="Arial" w:hAnsiTheme="minorHAnsi" w:cstheme="minorHAnsi"/>
          <w:spacing w:val="-6"/>
          <w:sz w:val="24"/>
          <w:szCs w:val="24"/>
        </w:rPr>
        <w:t xml:space="preserve"> </w:t>
      </w:r>
      <w:r w:rsidRPr="0043425A">
        <w:rPr>
          <w:rFonts w:asciiTheme="minorHAnsi" w:eastAsia="Arial" w:hAnsiTheme="minorHAnsi" w:cstheme="minorHAnsi"/>
          <w:sz w:val="24"/>
          <w:szCs w:val="24"/>
        </w:rPr>
        <w:t>Lis</w:t>
      </w:r>
      <w:r w:rsidRPr="0043425A">
        <w:rPr>
          <w:rFonts w:asciiTheme="minorHAnsi" w:eastAsia="Arial" w:hAnsiTheme="minorHAnsi" w:cstheme="minorHAnsi"/>
          <w:spacing w:val="1"/>
          <w:sz w:val="24"/>
          <w:szCs w:val="24"/>
        </w:rPr>
        <w:t>t</w:t>
      </w:r>
      <w:r w:rsidRPr="0043425A">
        <w:rPr>
          <w:rFonts w:asciiTheme="minorHAnsi" w:eastAsia="Arial" w:hAnsiTheme="minorHAnsi" w:cstheme="minorHAnsi"/>
          <w:sz w:val="24"/>
          <w:szCs w:val="24"/>
        </w:rPr>
        <w:t>s</w:t>
      </w:r>
      <w:r w:rsidRPr="0043425A">
        <w:rPr>
          <w:rFonts w:asciiTheme="minorHAnsi" w:eastAsia="Arial" w:hAnsiTheme="minorHAnsi" w:cstheme="minorHAnsi"/>
          <w:spacing w:val="-2"/>
          <w:sz w:val="24"/>
          <w:szCs w:val="24"/>
        </w:rPr>
        <w:t xml:space="preserve"> </w:t>
      </w:r>
      <w:r w:rsidRPr="0043425A">
        <w:rPr>
          <w:rFonts w:asciiTheme="minorHAnsi" w:eastAsia="Arial" w:hAnsiTheme="minorHAnsi" w:cstheme="minorHAnsi"/>
          <w:spacing w:val="-3"/>
          <w:sz w:val="24"/>
          <w:szCs w:val="24"/>
        </w:rPr>
        <w:t>A</w:t>
      </w:r>
      <w:r w:rsidRPr="0043425A">
        <w:rPr>
          <w:rFonts w:asciiTheme="minorHAnsi" w:eastAsia="Arial" w:hAnsiTheme="minorHAnsi" w:cstheme="minorHAnsi"/>
          <w:spacing w:val="-5"/>
          <w:sz w:val="24"/>
          <w:szCs w:val="24"/>
        </w:rPr>
        <w:t>v</w:t>
      </w:r>
      <w:r w:rsidRPr="0043425A">
        <w:rPr>
          <w:rFonts w:asciiTheme="minorHAnsi" w:eastAsia="Arial" w:hAnsiTheme="minorHAnsi" w:cstheme="minorHAnsi"/>
          <w:spacing w:val="2"/>
          <w:sz w:val="24"/>
          <w:szCs w:val="24"/>
        </w:rPr>
        <w:t>a</w:t>
      </w:r>
      <w:r w:rsidRPr="0043425A">
        <w:rPr>
          <w:rFonts w:asciiTheme="minorHAnsi" w:eastAsia="Arial" w:hAnsiTheme="minorHAnsi" w:cstheme="minorHAnsi"/>
          <w:sz w:val="24"/>
          <w:szCs w:val="24"/>
        </w:rPr>
        <w:t>i</w:t>
      </w:r>
      <w:r w:rsidRPr="0043425A">
        <w:rPr>
          <w:rFonts w:asciiTheme="minorHAnsi" w:eastAsia="Arial" w:hAnsiTheme="minorHAnsi" w:cstheme="minorHAnsi"/>
          <w:spacing w:val="2"/>
          <w:sz w:val="24"/>
          <w:szCs w:val="24"/>
        </w:rPr>
        <w:t>l</w:t>
      </w:r>
      <w:r w:rsidRPr="0043425A">
        <w:rPr>
          <w:rFonts w:asciiTheme="minorHAnsi" w:eastAsia="Arial" w:hAnsiTheme="minorHAnsi" w:cstheme="minorHAnsi"/>
          <w:sz w:val="24"/>
          <w:szCs w:val="24"/>
        </w:rPr>
        <w:t>able</w:t>
      </w:r>
      <w:r w:rsidRPr="0043425A">
        <w:rPr>
          <w:rFonts w:asciiTheme="minorHAnsi" w:eastAsia="Arial" w:hAnsiTheme="minorHAnsi" w:cstheme="minorHAnsi"/>
          <w:spacing w:val="-12"/>
          <w:sz w:val="24"/>
          <w:szCs w:val="24"/>
        </w:rPr>
        <w:t xml:space="preserve"> </w:t>
      </w:r>
      <w:r w:rsidRPr="0043425A">
        <w:rPr>
          <w:rFonts w:asciiTheme="minorHAnsi" w:eastAsia="Arial" w:hAnsiTheme="minorHAnsi" w:cstheme="minorHAnsi"/>
          <w:spacing w:val="-1"/>
          <w:sz w:val="24"/>
          <w:szCs w:val="24"/>
        </w:rPr>
        <w:t>O</w:t>
      </w:r>
      <w:r w:rsidRPr="0043425A">
        <w:rPr>
          <w:rFonts w:asciiTheme="minorHAnsi" w:eastAsia="Arial" w:hAnsiTheme="minorHAnsi" w:cstheme="minorHAnsi"/>
          <w:sz w:val="24"/>
          <w:szCs w:val="24"/>
        </w:rPr>
        <w:t>n</w:t>
      </w:r>
      <w:r w:rsidRPr="0043425A">
        <w:rPr>
          <w:rFonts w:asciiTheme="minorHAnsi" w:eastAsia="Arial" w:hAnsiTheme="minorHAnsi" w:cstheme="minorHAnsi"/>
          <w:spacing w:val="2"/>
          <w:sz w:val="24"/>
          <w:szCs w:val="24"/>
        </w:rPr>
        <w:t>l</w:t>
      </w:r>
      <w:r w:rsidRPr="0043425A">
        <w:rPr>
          <w:rFonts w:asciiTheme="minorHAnsi" w:eastAsia="Arial" w:hAnsiTheme="minorHAnsi" w:cstheme="minorHAnsi"/>
          <w:sz w:val="24"/>
          <w:szCs w:val="24"/>
        </w:rPr>
        <w:t>ine</w:t>
      </w:r>
    </w:p>
    <w:p w14:paraId="31D1BD39" w14:textId="77777777" w:rsidR="005F2DE6" w:rsidRPr="0043425A" w:rsidRDefault="005F2DE6" w:rsidP="005F2DE6">
      <w:pPr>
        <w:spacing w:after="0"/>
        <w:ind w:right="-20"/>
        <w:rPr>
          <w:rFonts w:asciiTheme="minorHAnsi" w:eastAsia="Arial" w:hAnsiTheme="minorHAnsi" w:cstheme="minorHAnsi"/>
          <w:szCs w:val="24"/>
        </w:rPr>
      </w:pPr>
      <w:r w:rsidRPr="0043425A">
        <w:rPr>
          <w:rFonts w:asciiTheme="minorHAnsi" w:eastAsia="Arial" w:hAnsiTheme="minorHAnsi" w:cstheme="minorHAnsi"/>
          <w:spacing w:val="1"/>
          <w:szCs w:val="24"/>
        </w:rPr>
        <w:t>L</w:t>
      </w:r>
      <w:r w:rsidRPr="0043425A">
        <w:rPr>
          <w:rFonts w:asciiTheme="minorHAnsi" w:eastAsia="Arial" w:hAnsiTheme="minorHAnsi" w:cstheme="minorHAnsi"/>
          <w:szCs w:val="24"/>
        </w:rPr>
        <w:t xml:space="preserve">ists </w:t>
      </w:r>
      <w:r w:rsidRPr="0043425A">
        <w:rPr>
          <w:rFonts w:asciiTheme="minorHAnsi" w:eastAsia="Arial" w:hAnsiTheme="minorHAnsi" w:cstheme="minorHAnsi"/>
          <w:spacing w:val="-1"/>
          <w:szCs w:val="24"/>
        </w:rPr>
        <w:t>o</w:t>
      </w:r>
      <w:r w:rsidRPr="0043425A">
        <w:rPr>
          <w:rFonts w:asciiTheme="minorHAnsi" w:eastAsia="Arial" w:hAnsiTheme="minorHAnsi" w:cstheme="minorHAnsi"/>
          <w:szCs w:val="24"/>
        </w:rPr>
        <w:t>f</w:t>
      </w:r>
      <w:r w:rsidRPr="0043425A">
        <w:rPr>
          <w:rFonts w:asciiTheme="minorHAnsi" w:eastAsia="Arial" w:hAnsiTheme="minorHAnsi" w:cstheme="minorHAnsi"/>
          <w:spacing w:val="1"/>
          <w:szCs w:val="24"/>
        </w:rPr>
        <w:t xml:space="preserve"> a</w:t>
      </w:r>
      <w:r w:rsidRPr="0043425A">
        <w:rPr>
          <w:rFonts w:asciiTheme="minorHAnsi" w:eastAsia="Arial" w:hAnsiTheme="minorHAnsi" w:cstheme="minorHAnsi"/>
          <w:szCs w:val="24"/>
        </w:rPr>
        <w:t>ll</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 xml:space="preserve">NIH </w:t>
      </w:r>
      <w:r w:rsidRPr="0043425A">
        <w:rPr>
          <w:rFonts w:asciiTheme="minorHAnsi" w:eastAsia="Arial" w:hAnsiTheme="minorHAnsi" w:cstheme="minorHAnsi"/>
          <w:spacing w:val="1"/>
          <w:szCs w:val="24"/>
        </w:rPr>
        <w:t>B</w:t>
      </w:r>
      <w:r w:rsidRPr="0043425A">
        <w:rPr>
          <w:rFonts w:asciiTheme="minorHAnsi" w:eastAsia="Arial" w:hAnsiTheme="minorHAnsi" w:cstheme="minorHAnsi"/>
          <w:szCs w:val="24"/>
        </w:rPr>
        <w:t>la</w:t>
      </w:r>
      <w:r w:rsidRPr="0043425A">
        <w:rPr>
          <w:rFonts w:asciiTheme="minorHAnsi" w:eastAsia="Arial" w:hAnsiTheme="minorHAnsi" w:cstheme="minorHAnsi"/>
          <w:spacing w:val="1"/>
          <w:szCs w:val="24"/>
        </w:rPr>
        <w:t>n</w:t>
      </w:r>
      <w:r w:rsidRPr="0043425A">
        <w:rPr>
          <w:rFonts w:asciiTheme="minorHAnsi" w:eastAsia="Arial" w:hAnsiTheme="minorHAnsi" w:cstheme="minorHAnsi"/>
          <w:spacing w:val="-2"/>
          <w:szCs w:val="24"/>
        </w:rPr>
        <w:t>k</w:t>
      </w:r>
      <w:r w:rsidRPr="0043425A">
        <w:rPr>
          <w:rFonts w:asciiTheme="minorHAnsi" w:eastAsia="Arial" w:hAnsiTheme="minorHAnsi" w:cstheme="minorHAnsi"/>
          <w:spacing w:val="3"/>
          <w:szCs w:val="24"/>
        </w:rPr>
        <w:t>e</w:t>
      </w:r>
      <w:r w:rsidRPr="0043425A">
        <w:rPr>
          <w:rFonts w:asciiTheme="minorHAnsi" w:eastAsia="Arial" w:hAnsiTheme="minorHAnsi" w:cstheme="minorHAnsi"/>
          <w:szCs w:val="24"/>
        </w:rPr>
        <w:t>t</w:t>
      </w:r>
      <w:r w:rsidRPr="0043425A">
        <w:rPr>
          <w:rFonts w:asciiTheme="minorHAnsi" w:eastAsia="Arial" w:hAnsiTheme="minorHAnsi" w:cstheme="minorHAnsi"/>
          <w:spacing w:val="-2"/>
          <w:szCs w:val="24"/>
        </w:rPr>
        <w:t xml:space="preserve"> </w:t>
      </w:r>
      <w:r w:rsidRPr="0043425A">
        <w:rPr>
          <w:rFonts w:asciiTheme="minorHAnsi" w:eastAsia="Arial" w:hAnsiTheme="minorHAnsi" w:cstheme="minorHAnsi"/>
          <w:spacing w:val="1"/>
          <w:szCs w:val="24"/>
        </w:rPr>
        <w:t>Pu</w:t>
      </w:r>
      <w:r w:rsidRPr="0043425A">
        <w:rPr>
          <w:rFonts w:asciiTheme="minorHAnsi" w:eastAsia="Arial" w:hAnsiTheme="minorHAnsi" w:cstheme="minorHAnsi"/>
          <w:szCs w:val="24"/>
        </w:rPr>
        <w:t>rch</w:t>
      </w:r>
      <w:r w:rsidRPr="0043425A">
        <w:rPr>
          <w:rFonts w:asciiTheme="minorHAnsi" w:eastAsia="Arial" w:hAnsiTheme="minorHAnsi" w:cstheme="minorHAnsi"/>
          <w:spacing w:val="1"/>
          <w:szCs w:val="24"/>
        </w:rPr>
        <w:t>a</w:t>
      </w:r>
      <w:r w:rsidRPr="0043425A">
        <w:rPr>
          <w:rFonts w:asciiTheme="minorHAnsi" w:eastAsia="Arial" w:hAnsiTheme="minorHAnsi" w:cstheme="minorHAnsi"/>
          <w:spacing w:val="-2"/>
          <w:szCs w:val="24"/>
        </w:rPr>
        <w:t>s</w:t>
      </w:r>
      <w:r w:rsidRPr="0043425A">
        <w:rPr>
          <w:rFonts w:asciiTheme="minorHAnsi" w:eastAsia="Arial" w:hAnsiTheme="minorHAnsi" w:cstheme="minorHAnsi"/>
          <w:szCs w:val="24"/>
        </w:rPr>
        <w:t>e</w:t>
      </w:r>
      <w:r w:rsidRPr="0043425A">
        <w:rPr>
          <w:rFonts w:asciiTheme="minorHAnsi" w:eastAsia="Arial" w:hAnsiTheme="minorHAnsi" w:cstheme="minorHAnsi"/>
          <w:spacing w:val="1"/>
          <w:szCs w:val="24"/>
        </w:rPr>
        <w:t xml:space="preserve"> A</w:t>
      </w:r>
      <w:r w:rsidRPr="0043425A">
        <w:rPr>
          <w:rFonts w:asciiTheme="minorHAnsi" w:eastAsia="Arial" w:hAnsiTheme="minorHAnsi" w:cstheme="minorHAnsi"/>
          <w:spacing w:val="-1"/>
          <w:szCs w:val="24"/>
        </w:rPr>
        <w:t>g</w:t>
      </w:r>
      <w:r w:rsidRPr="0043425A">
        <w:rPr>
          <w:rFonts w:asciiTheme="minorHAnsi" w:eastAsia="Arial" w:hAnsiTheme="minorHAnsi" w:cstheme="minorHAnsi"/>
          <w:szCs w:val="24"/>
        </w:rPr>
        <w:t>re</w:t>
      </w:r>
      <w:r w:rsidRPr="0043425A">
        <w:rPr>
          <w:rFonts w:asciiTheme="minorHAnsi" w:eastAsia="Arial" w:hAnsiTheme="minorHAnsi" w:cstheme="minorHAnsi"/>
          <w:spacing w:val="-1"/>
          <w:szCs w:val="24"/>
        </w:rPr>
        <w:t>e</w:t>
      </w:r>
      <w:r w:rsidRPr="0043425A">
        <w:rPr>
          <w:rFonts w:asciiTheme="minorHAnsi" w:eastAsia="Arial" w:hAnsiTheme="minorHAnsi" w:cstheme="minorHAnsi"/>
          <w:spacing w:val="1"/>
          <w:szCs w:val="24"/>
        </w:rPr>
        <w:t>m</w:t>
      </w:r>
      <w:r w:rsidRPr="0043425A">
        <w:rPr>
          <w:rFonts w:asciiTheme="minorHAnsi" w:eastAsia="Arial" w:hAnsiTheme="minorHAnsi" w:cstheme="minorHAnsi"/>
          <w:spacing w:val="-1"/>
          <w:szCs w:val="24"/>
        </w:rPr>
        <w:t>e</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ts</w:t>
      </w:r>
      <w:r w:rsidRPr="0043425A">
        <w:rPr>
          <w:rFonts w:asciiTheme="minorHAnsi" w:eastAsia="Arial" w:hAnsiTheme="minorHAnsi" w:cstheme="minorHAnsi"/>
          <w:spacing w:val="-2"/>
          <w:szCs w:val="24"/>
        </w:rPr>
        <w:t xml:space="preserve"> </w:t>
      </w:r>
      <w:r w:rsidRPr="0043425A">
        <w:rPr>
          <w:rFonts w:asciiTheme="minorHAnsi" w:eastAsia="Arial" w:hAnsiTheme="minorHAnsi" w:cstheme="minorHAnsi"/>
          <w:szCs w:val="24"/>
        </w:rPr>
        <w:t>(B</w:t>
      </w:r>
      <w:r w:rsidRPr="0043425A">
        <w:rPr>
          <w:rFonts w:asciiTheme="minorHAnsi" w:eastAsia="Arial" w:hAnsiTheme="minorHAnsi" w:cstheme="minorHAnsi"/>
          <w:spacing w:val="1"/>
          <w:szCs w:val="24"/>
        </w:rPr>
        <w:t>P</w:t>
      </w:r>
      <w:r w:rsidRPr="0043425A">
        <w:rPr>
          <w:rFonts w:asciiTheme="minorHAnsi" w:eastAsia="Arial" w:hAnsiTheme="minorHAnsi" w:cstheme="minorHAnsi"/>
          <w:szCs w:val="24"/>
        </w:rPr>
        <w:t>As) can</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b</w:t>
      </w:r>
      <w:r w:rsidRPr="0043425A">
        <w:rPr>
          <w:rFonts w:asciiTheme="minorHAnsi" w:eastAsia="Arial" w:hAnsiTheme="minorHAnsi" w:cstheme="minorHAnsi"/>
          <w:szCs w:val="24"/>
        </w:rPr>
        <w:t>e</w:t>
      </w:r>
      <w:r w:rsidRPr="0043425A">
        <w:rPr>
          <w:rFonts w:asciiTheme="minorHAnsi" w:eastAsia="Arial" w:hAnsiTheme="minorHAnsi" w:cstheme="minorHAnsi"/>
          <w:spacing w:val="-3"/>
          <w:szCs w:val="24"/>
        </w:rPr>
        <w:t xml:space="preserve"> </w:t>
      </w:r>
      <w:r w:rsidRPr="0043425A">
        <w:rPr>
          <w:rFonts w:asciiTheme="minorHAnsi" w:eastAsia="Arial" w:hAnsiTheme="minorHAnsi" w:cstheme="minorHAnsi"/>
          <w:spacing w:val="3"/>
          <w:szCs w:val="24"/>
        </w:rPr>
        <w:t>f</w:t>
      </w:r>
      <w:r w:rsidRPr="0043425A">
        <w:rPr>
          <w:rFonts w:asciiTheme="minorHAnsi" w:eastAsia="Arial" w:hAnsiTheme="minorHAnsi" w:cstheme="minorHAnsi"/>
          <w:spacing w:val="-1"/>
          <w:szCs w:val="24"/>
        </w:rPr>
        <w:t>o</w:t>
      </w:r>
      <w:r w:rsidRPr="0043425A">
        <w:rPr>
          <w:rFonts w:asciiTheme="minorHAnsi" w:eastAsia="Arial" w:hAnsiTheme="minorHAnsi" w:cstheme="minorHAnsi"/>
          <w:spacing w:val="1"/>
          <w:szCs w:val="24"/>
        </w:rPr>
        <w:t>un</w:t>
      </w:r>
      <w:r w:rsidRPr="0043425A">
        <w:rPr>
          <w:rFonts w:asciiTheme="minorHAnsi" w:eastAsia="Arial" w:hAnsiTheme="minorHAnsi" w:cstheme="minorHAnsi"/>
          <w:szCs w:val="24"/>
        </w:rPr>
        <w:t>d</w:t>
      </w:r>
      <w:r w:rsidRPr="0043425A">
        <w:rPr>
          <w:rFonts w:asciiTheme="minorHAnsi" w:eastAsia="Arial" w:hAnsiTheme="minorHAnsi" w:cstheme="minorHAnsi"/>
          <w:spacing w:val="-3"/>
          <w:szCs w:val="24"/>
        </w:rPr>
        <w:t xml:space="preserve"> </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h</w:t>
      </w:r>
      <w:r w:rsidRPr="0043425A">
        <w:rPr>
          <w:rFonts w:asciiTheme="minorHAnsi" w:eastAsia="Arial" w:hAnsiTheme="minorHAnsi" w:cstheme="minorHAnsi"/>
          <w:szCs w:val="24"/>
        </w:rPr>
        <w:t xml:space="preserve">e </w:t>
      </w:r>
      <w:r w:rsidRPr="0043425A">
        <w:rPr>
          <w:rFonts w:asciiTheme="minorHAnsi" w:hAnsiTheme="minorHAnsi" w:cstheme="minorHAnsi"/>
          <w:szCs w:val="24"/>
        </w:rPr>
        <w:t xml:space="preserve">NIH </w:t>
      </w:r>
      <w:hyperlink r:id="rId21" w:tooltip="Blanket Purchase Agreement Homepage" w:history="1">
        <w:r w:rsidRPr="0043425A">
          <w:rPr>
            <w:rStyle w:val="Hyperlink"/>
            <w:rFonts w:asciiTheme="minorHAnsi" w:hAnsiTheme="minorHAnsi" w:cstheme="minorHAnsi"/>
            <w:szCs w:val="24"/>
          </w:rPr>
          <w:t>Blanket Purchase Agreement Homepage</w:t>
        </w:r>
      </w:hyperlink>
      <w:r w:rsidRPr="0043425A">
        <w:rPr>
          <w:rFonts w:asciiTheme="minorHAnsi" w:eastAsia="Arial" w:hAnsiTheme="minorHAnsi" w:cstheme="minorHAnsi"/>
          <w:color w:val="000000"/>
          <w:position w:val="-1"/>
          <w:szCs w:val="24"/>
        </w:rPr>
        <w:t>.</w:t>
      </w:r>
    </w:p>
    <w:p w14:paraId="565501A2" w14:textId="77777777" w:rsidR="005F2DE6" w:rsidRPr="0043425A" w:rsidRDefault="005F2DE6" w:rsidP="001F49D0">
      <w:pPr>
        <w:spacing w:before="29"/>
        <w:ind w:right="-14"/>
        <w:rPr>
          <w:rFonts w:asciiTheme="minorHAnsi" w:eastAsia="Arial" w:hAnsiTheme="minorHAnsi" w:cstheme="minorHAnsi"/>
          <w:szCs w:val="24"/>
        </w:rPr>
      </w:pPr>
      <w:r w:rsidRPr="0043425A">
        <w:rPr>
          <w:rFonts w:asciiTheme="minorHAnsi" w:eastAsia="Arial" w:hAnsiTheme="minorHAnsi" w:cstheme="minorHAnsi"/>
          <w:spacing w:val="2"/>
          <w:szCs w:val="24"/>
        </w:rPr>
        <w:t>T</w:t>
      </w:r>
      <w:r w:rsidRPr="0043425A">
        <w:rPr>
          <w:rFonts w:asciiTheme="minorHAnsi" w:eastAsia="Arial" w:hAnsiTheme="minorHAnsi" w:cstheme="minorHAnsi"/>
          <w:spacing w:val="1"/>
          <w:szCs w:val="24"/>
        </w:rPr>
        <w:t>h</w:t>
      </w:r>
      <w:r w:rsidRPr="0043425A">
        <w:rPr>
          <w:rFonts w:asciiTheme="minorHAnsi" w:eastAsia="Arial" w:hAnsiTheme="minorHAnsi" w:cstheme="minorHAnsi"/>
          <w:szCs w:val="24"/>
        </w:rPr>
        <w:t>is website</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c</w:t>
      </w:r>
      <w:r w:rsidRPr="0043425A">
        <w:rPr>
          <w:rFonts w:asciiTheme="minorHAnsi" w:eastAsia="Arial" w:hAnsiTheme="minorHAnsi" w:cstheme="minorHAnsi"/>
          <w:spacing w:val="-1"/>
          <w:szCs w:val="24"/>
        </w:rPr>
        <w:t>o</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ins</w:t>
      </w:r>
      <w:r w:rsidRPr="0043425A">
        <w:rPr>
          <w:rFonts w:asciiTheme="minorHAnsi" w:eastAsia="Arial" w:hAnsiTheme="minorHAnsi" w:cstheme="minorHAnsi"/>
          <w:spacing w:val="-4"/>
          <w:szCs w:val="24"/>
        </w:rPr>
        <w:t xml:space="preserve"> </w:t>
      </w:r>
      <w:proofErr w:type="gramStart"/>
      <w:r w:rsidRPr="0043425A">
        <w:rPr>
          <w:rFonts w:asciiTheme="minorHAnsi" w:eastAsia="Arial" w:hAnsiTheme="minorHAnsi" w:cstheme="minorHAnsi"/>
          <w:spacing w:val="2"/>
          <w:szCs w:val="24"/>
        </w:rPr>
        <w:t>a number of</w:t>
      </w:r>
      <w:proofErr w:type="gramEnd"/>
      <w:r w:rsidRPr="0043425A">
        <w:rPr>
          <w:rFonts w:asciiTheme="minorHAnsi" w:eastAsia="Arial" w:hAnsiTheme="minorHAnsi" w:cstheme="minorHAnsi"/>
          <w:spacing w:val="2"/>
          <w:szCs w:val="24"/>
        </w:rPr>
        <w:t xml:space="preserve"> </w:t>
      </w:r>
      <w:r w:rsidRPr="0043425A">
        <w:rPr>
          <w:rFonts w:asciiTheme="minorHAnsi" w:eastAsia="Arial" w:hAnsiTheme="minorHAnsi" w:cstheme="minorHAnsi"/>
          <w:spacing w:val="1"/>
          <w:szCs w:val="24"/>
        </w:rPr>
        <w:t>B</w:t>
      </w:r>
      <w:r w:rsidRPr="0043425A">
        <w:rPr>
          <w:rFonts w:asciiTheme="minorHAnsi" w:eastAsia="Arial" w:hAnsiTheme="minorHAnsi" w:cstheme="minorHAnsi"/>
          <w:szCs w:val="24"/>
        </w:rPr>
        <w:t>PA</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l</w:t>
      </w:r>
      <w:r w:rsidRPr="0043425A">
        <w:rPr>
          <w:rFonts w:asciiTheme="minorHAnsi" w:eastAsia="Arial" w:hAnsiTheme="minorHAnsi" w:cstheme="minorHAnsi"/>
          <w:szCs w:val="24"/>
        </w:rPr>
        <w:t>istings, including:</w:t>
      </w:r>
    </w:p>
    <w:p w14:paraId="162C7A19" w14:textId="77777777" w:rsidR="005F2DE6" w:rsidRPr="0043425A" w:rsidRDefault="005F2DE6" w:rsidP="005F2DE6">
      <w:pPr>
        <w:spacing w:after="0"/>
        <w:ind w:left="460" w:right="-20"/>
        <w:rPr>
          <w:rFonts w:asciiTheme="minorHAnsi" w:eastAsia="Arial" w:hAnsiTheme="minorHAnsi" w:cstheme="minorHAnsi"/>
          <w:szCs w:val="24"/>
        </w:rPr>
      </w:pPr>
      <w:r w:rsidRPr="0043425A">
        <w:rPr>
          <w:rFonts w:asciiTheme="minorHAnsi" w:eastAsia="Arial" w:hAnsiTheme="minorHAnsi" w:cstheme="minorHAnsi"/>
          <w:spacing w:val="1"/>
          <w:szCs w:val="24"/>
        </w:rPr>
        <w:t>1</w:t>
      </w:r>
      <w:r w:rsidRPr="0043425A">
        <w:rPr>
          <w:rFonts w:asciiTheme="minorHAnsi" w:eastAsia="Arial" w:hAnsiTheme="minorHAnsi" w:cstheme="minorHAnsi"/>
          <w:szCs w:val="24"/>
        </w:rPr>
        <w:t xml:space="preserve">.  NIH -Wide BPA list </w:t>
      </w:r>
      <w:r w:rsidRPr="0043425A">
        <w:rPr>
          <w:rFonts w:asciiTheme="minorHAnsi" w:eastAsia="Arial" w:hAnsiTheme="minorHAnsi" w:cstheme="minorHAnsi"/>
          <w:spacing w:val="2"/>
          <w:szCs w:val="24"/>
        </w:rPr>
        <w:t>(</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l</w:t>
      </w:r>
      <w:r w:rsidRPr="0043425A">
        <w:rPr>
          <w:rFonts w:asciiTheme="minorHAnsi" w:eastAsia="Arial" w:hAnsiTheme="minorHAnsi" w:cstheme="minorHAnsi"/>
          <w:spacing w:val="-2"/>
          <w:szCs w:val="24"/>
        </w:rPr>
        <w:t>p</w:t>
      </w:r>
      <w:r w:rsidRPr="0043425A">
        <w:rPr>
          <w:rFonts w:asciiTheme="minorHAnsi" w:eastAsia="Arial" w:hAnsiTheme="minorHAnsi" w:cstheme="minorHAnsi"/>
          <w:spacing w:val="-1"/>
          <w:szCs w:val="24"/>
        </w:rPr>
        <w:t>h</w:t>
      </w:r>
      <w:r w:rsidRPr="0043425A">
        <w:rPr>
          <w:rFonts w:asciiTheme="minorHAnsi" w:eastAsia="Arial" w:hAnsiTheme="minorHAnsi" w:cstheme="minorHAnsi"/>
          <w:spacing w:val="1"/>
          <w:szCs w:val="24"/>
        </w:rPr>
        <w:t>abe</w:t>
      </w:r>
      <w:r w:rsidRPr="0043425A">
        <w:rPr>
          <w:rFonts w:asciiTheme="minorHAnsi" w:eastAsia="Arial" w:hAnsiTheme="minorHAnsi" w:cstheme="minorHAnsi"/>
          <w:szCs w:val="24"/>
        </w:rPr>
        <w:t>ti</w:t>
      </w:r>
      <w:r w:rsidRPr="0043425A">
        <w:rPr>
          <w:rFonts w:asciiTheme="minorHAnsi" w:eastAsia="Arial" w:hAnsiTheme="minorHAnsi" w:cstheme="minorHAnsi"/>
          <w:spacing w:val="-2"/>
          <w:szCs w:val="24"/>
        </w:rPr>
        <w:t>c</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l l</w:t>
      </w:r>
      <w:r w:rsidRPr="0043425A">
        <w:rPr>
          <w:rFonts w:asciiTheme="minorHAnsi" w:eastAsia="Arial" w:hAnsiTheme="minorHAnsi" w:cstheme="minorHAnsi"/>
          <w:spacing w:val="-1"/>
          <w:szCs w:val="24"/>
        </w:rPr>
        <w:t>i</w:t>
      </w:r>
      <w:r w:rsidRPr="0043425A">
        <w:rPr>
          <w:rFonts w:asciiTheme="minorHAnsi" w:eastAsia="Arial" w:hAnsiTheme="minorHAnsi" w:cstheme="minorHAnsi"/>
          <w:szCs w:val="24"/>
        </w:rPr>
        <w:t>st</w:t>
      </w:r>
      <w:r w:rsidRPr="0043425A">
        <w:rPr>
          <w:rFonts w:asciiTheme="minorHAnsi" w:eastAsia="Arial" w:hAnsiTheme="minorHAnsi" w:cstheme="minorHAnsi"/>
          <w:spacing w:val="-2"/>
          <w:szCs w:val="24"/>
        </w:rPr>
        <w:t xml:space="preserve"> by v</w:t>
      </w:r>
      <w:r w:rsidRPr="0043425A">
        <w:rPr>
          <w:rFonts w:asciiTheme="minorHAnsi" w:eastAsia="Arial" w:hAnsiTheme="minorHAnsi" w:cstheme="minorHAnsi"/>
          <w:spacing w:val="1"/>
          <w:szCs w:val="24"/>
        </w:rPr>
        <w:t>en</w:t>
      </w:r>
      <w:r w:rsidRPr="0043425A">
        <w:rPr>
          <w:rFonts w:asciiTheme="minorHAnsi" w:eastAsia="Arial" w:hAnsiTheme="minorHAnsi" w:cstheme="minorHAnsi"/>
          <w:spacing w:val="-1"/>
          <w:szCs w:val="24"/>
        </w:rPr>
        <w:t>d</w:t>
      </w:r>
      <w:r w:rsidRPr="0043425A">
        <w:rPr>
          <w:rFonts w:asciiTheme="minorHAnsi" w:eastAsia="Arial" w:hAnsiTheme="minorHAnsi" w:cstheme="minorHAnsi"/>
          <w:spacing w:val="1"/>
          <w:szCs w:val="24"/>
        </w:rPr>
        <w:t>o</w:t>
      </w:r>
      <w:r w:rsidRPr="0043425A">
        <w:rPr>
          <w:rFonts w:asciiTheme="minorHAnsi" w:eastAsia="Arial" w:hAnsiTheme="minorHAnsi" w:cstheme="minorHAnsi"/>
          <w:szCs w:val="24"/>
        </w:rPr>
        <w:t>r name);</w:t>
      </w:r>
      <w:r w:rsidRPr="0043425A">
        <w:rPr>
          <w:rFonts w:asciiTheme="minorHAnsi" w:eastAsia="Arial" w:hAnsiTheme="minorHAnsi" w:cstheme="minorHAnsi"/>
          <w:spacing w:val="1"/>
          <w:szCs w:val="24"/>
        </w:rPr>
        <w:t xml:space="preserve"> </w:t>
      </w:r>
    </w:p>
    <w:p w14:paraId="4354C72E" w14:textId="77777777" w:rsidR="005F2DE6" w:rsidRPr="0043425A" w:rsidRDefault="005F2DE6" w:rsidP="005F2DE6">
      <w:pPr>
        <w:spacing w:after="0"/>
        <w:ind w:left="460" w:right="-20"/>
        <w:rPr>
          <w:rFonts w:asciiTheme="minorHAnsi" w:eastAsia="Arial" w:hAnsiTheme="minorHAnsi" w:cstheme="minorHAnsi"/>
          <w:spacing w:val="1"/>
          <w:szCs w:val="24"/>
        </w:rPr>
      </w:pPr>
      <w:r w:rsidRPr="0043425A">
        <w:rPr>
          <w:rFonts w:asciiTheme="minorHAnsi" w:eastAsia="Arial" w:hAnsiTheme="minorHAnsi" w:cstheme="minorHAnsi"/>
          <w:spacing w:val="1"/>
          <w:szCs w:val="24"/>
        </w:rPr>
        <w:t>2.  NIH -Wide BPA List sorted by commodity;</w:t>
      </w:r>
    </w:p>
    <w:p w14:paraId="266A0F19" w14:textId="77777777" w:rsidR="005F2DE6" w:rsidRPr="0043425A" w:rsidRDefault="005F2DE6" w:rsidP="005F2DE6">
      <w:pPr>
        <w:spacing w:after="0"/>
        <w:ind w:left="460" w:right="-20"/>
        <w:rPr>
          <w:rFonts w:asciiTheme="minorHAnsi" w:eastAsia="Arial" w:hAnsiTheme="minorHAnsi" w:cstheme="minorHAnsi"/>
          <w:spacing w:val="1"/>
          <w:szCs w:val="24"/>
        </w:rPr>
      </w:pPr>
      <w:r w:rsidRPr="0043425A">
        <w:rPr>
          <w:rFonts w:asciiTheme="minorHAnsi" w:eastAsia="Arial" w:hAnsiTheme="minorHAnsi" w:cstheme="minorHAnsi"/>
          <w:spacing w:val="1"/>
          <w:szCs w:val="24"/>
        </w:rPr>
        <w:t>3.  Open Market BPA Holders; and</w:t>
      </w:r>
    </w:p>
    <w:p w14:paraId="4DD1EE53" w14:textId="77777777" w:rsidR="005F2DE6" w:rsidRPr="0043425A" w:rsidRDefault="005F2DE6" w:rsidP="005F2DE6">
      <w:pPr>
        <w:spacing w:after="0" w:line="240" w:lineRule="auto"/>
        <w:ind w:left="460" w:right="-20"/>
        <w:rPr>
          <w:rFonts w:asciiTheme="minorHAnsi" w:eastAsia="Arial" w:hAnsiTheme="minorHAnsi" w:cstheme="minorHAnsi"/>
          <w:spacing w:val="1"/>
          <w:szCs w:val="24"/>
        </w:rPr>
      </w:pPr>
      <w:r w:rsidRPr="0043425A">
        <w:rPr>
          <w:rFonts w:asciiTheme="minorHAnsi" w:eastAsia="Arial" w:hAnsiTheme="minorHAnsi" w:cstheme="minorHAnsi"/>
          <w:spacing w:val="1"/>
          <w:szCs w:val="24"/>
        </w:rPr>
        <w:t>4.  GSA Federal Supply Schedule BPA Holders.</w:t>
      </w:r>
    </w:p>
    <w:p w14:paraId="09B0C17E" w14:textId="77777777" w:rsidR="005F2DE6" w:rsidRPr="0043425A" w:rsidRDefault="005F2DE6" w:rsidP="005F2DE6">
      <w:pPr>
        <w:spacing w:after="0" w:line="240" w:lineRule="auto"/>
        <w:ind w:left="461" w:right="-14"/>
        <w:rPr>
          <w:rFonts w:asciiTheme="minorHAnsi" w:eastAsia="Arial" w:hAnsiTheme="minorHAnsi" w:cstheme="minorHAnsi"/>
          <w:spacing w:val="1"/>
          <w:szCs w:val="24"/>
        </w:rPr>
      </w:pPr>
      <w:r w:rsidRPr="0043425A">
        <w:rPr>
          <w:rFonts w:asciiTheme="minorHAnsi" w:eastAsia="Arial" w:hAnsiTheme="minorHAnsi" w:cstheme="minorHAnsi"/>
          <w:spacing w:val="1"/>
          <w:szCs w:val="24"/>
        </w:rPr>
        <w:t xml:space="preserve"> </w:t>
      </w:r>
    </w:p>
    <w:p w14:paraId="5CFBC25B" w14:textId="77777777" w:rsidR="005F2DE6" w:rsidRPr="001F49D0" w:rsidRDefault="005F2DE6" w:rsidP="001F49D0">
      <w:pPr>
        <w:spacing w:after="0" w:line="240" w:lineRule="auto"/>
        <w:ind w:right="-14"/>
        <w:rPr>
          <w:rFonts w:asciiTheme="minorHAnsi" w:eastAsia="Arial" w:hAnsiTheme="minorHAnsi" w:cstheme="minorHAnsi"/>
          <w:spacing w:val="-1"/>
          <w:szCs w:val="24"/>
        </w:rPr>
      </w:pPr>
      <w:r w:rsidRPr="0043425A">
        <w:rPr>
          <w:rFonts w:asciiTheme="minorHAnsi" w:eastAsia="Arial" w:hAnsiTheme="minorHAnsi" w:cstheme="minorHAnsi"/>
          <w:szCs w:val="24"/>
        </w:rPr>
        <w:t>If</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2"/>
          <w:szCs w:val="24"/>
        </w:rPr>
        <w:t>y</w:t>
      </w:r>
      <w:r w:rsidRPr="0043425A">
        <w:rPr>
          <w:rFonts w:asciiTheme="minorHAnsi" w:eastAsia="Arial" w:hAnsiTheme="minorHAnsi" w:cstheme="minorHAnsi"/>
          <w:spacing w:val="1"/>
          <w:szCs w:val="24"/>
        </w:rPr>
        <w:t>o</w:t>
      </w:r>
      <w:r w:rsidRPr="0043425A">
        <w:rPr>
          <w:rFonts w:asciiTheme="minorHAnsi" w:eastAsia="Arial" w:hAnsiTheme="minorHAnsi" w:cstheme="minorHAnsi"/>
          <w:szCs w:val="24"/>
        </w:rPr>
        <w:t>u</w:t>
      </w:r>
      <w:r w:rsidRPr="0043425A">
        <w:rPr>
          <w:rFonts w:asciiTheme="minorHAnsi" w:eastAsia="Arial" w:hAnsiTheme="minorHAnsi" w:cstheme="minorHAnsi"/>
          <w:spacing w:val="1"/>
          <w:szCs w:val="24"/>
        </w:rPr>
        <w:t xml:space="preserve"> ha</w:t>
      </w:r>
      <w:r w:rsidRPr="0043425A">
        <w:rPr>
          <w:rFonts w:asciiTheme="minorHAnsi" w:eastAsia="Arial" w:hAnsiTheme="minorHAnsi" w:cstheme="minorHAnsi"/>
          <w:spacing w:val="-2"/>
          <w:szCs w:val="24"/>
        </w:rPr>
        <w:t>v</w:t>
      </w:r>
      <w:r w:rsidRPr="0043425A">
        <w:rPr>
          <w:rFonts w:asciiTheme="minorHAnsi" w:eastAsia="Arial" w:hAnsiTheme="minorHAnsi" w:cstheme="minorHAnsi"/>
          <w:szCs w:val="24"/>
        </w:rPr>
        <w:t>e</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a</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y</w:t>
      </w:r>
      <w:r w:rsidRPr="0043425A">
        <w:rPr>
          <w:rFonts w:asciiTheme="minorHAnsi" w:eastAsia="Arial" w:hAnsiTheme="minorHAnsi" w:cstheme="minorHAnsi"/>
          <w:spacing w:val="-2"/>
          <w:szCs w:val="24"/>
        </w:rPr>
        <w:t xml:space="preserve"> </w:t>
      </w:r>
      <w:r w:rsidRPr="0043425A">
        <w:rPr>
          <w:rFonts w:asciiTheme="minorHAnsi" w:eastAsia="Arial" w:hAnsiTheme="minorHAnsi" w:cstheme="minorHAnsi"/>
          <w:spacing w:val="-1"/>
          <w:szCs w:val="24"/>
        </w:rPr>
        <w:t>q</w:t>
      </w:r>
      <w:r w:rsidRPr="0043425A">
        <w:rPr>
          <w:rFonts w:asciiTheme="minorHAnsi" w:eastAsia="Arial" w:hAnsiTheme="minorHAnsi" w:cstheme="minorHAnsi"/>
          <w:spacing w:val="1"/>
          <w:szCs w:val="24"/>
        </w:rPr>
        <w:t>ue</w:t>
      </w:r>
      <w:r w:rsidRPr="0043425A">
        <w:rPr>
          <w:rFonts w:asciiTheme="minorHAnsi" w:eastAsia="Arial" w:hAnsiTheme="minorHAnsi" w:cstheme="minorHAnsi"/>
          <w:szCs w:val="24"/>
        </w:rPr>
        <w:t>sti</w:t>
      </w:r>
      <w:r w:rsidRPr="0043425A">
        <w:rPr>
          <w:rFonts w:asciiTheme="minorHAnsi" w:eastAsia="Arial" w:hAnsiTheme="minorHAnsi" w:cstheme="minorHAnsi"/>
          <w:spacing w:val="1"/>
          <w:szCs w:val="24"/>
        </w:rPr>
        <w:t>on</w:t>
      </w:r>
      <w:r w:rsidRPr="0043425A">
        <w:rPr>
          <w:rFonts w:asciiTheme="minorHAnsi" w:eastAsia="Arial" w:hAnsiTheme="minorHAnsi" w:cstheme="minorHAnsi"/>
          <w:szCs w:val="24"/>
        </w:rPr>
        <w:t xml:space="preserve">s </w:t>
      </w:r>
      <w:r w:rsidRPr="0043425A">
        <w:rPr>
          <w:rFonts w:asciiTheme="minorHAnsi" w:eastAsia="Arial" w:hAnsiTheme="minorHAnsi" w:cstheme="minorHAnsi"/>
          <w:spacing w:val="1"/>
          <w:szCs w:val="24"/>
        </w:rPr>
        <w:t>o</w:t>
      </w:r>
      <w:r w:rsidRPr="0043425A">
        <w:rPr>
          <w:rFonts w:asciiTheme="minorHAnsi" w:eastAsia="Arial" w:hAnsiTheme="minorHAnsi" w:cstheme="minorHAnsi"/>
          <w:szCs w:val="24"/>
        </w:rPr>
        <w:t>r</w:t>
      </w:r>
      <w:r w:rsidRPr="0043425A">
        <w:rPr>
          <w:rFonts w:asciiTheme="minorHAnsi" w:eastAsia="Arial" w:hAnsiTheme="minorHAnsi" w:cstheme="minorHAnsi"/>
          <w:spacing w:val="-3"/>
          <w:szCs w:val="24"/>
        </w:rPr>
        <w:t xml:space="preserve"> </w:t>
      </w:r>
      <w:r w:rsidRPr="0043425A">
        <w:rPr>
          <w:rFonts w:asciiTheme="minorHAnsi" w:eastAsia="Arial" w:hAnsiTheme="minorHAnsi" w:cstheme="minorHAnsi"/>
          <w:spacing w:val="1"/>
          <w:szCs w:val="24"/>
        </w:rPr>
        <w:t>ne</w:t>
      </w:r>
      <w:r w:rsidRPr="0043425A">
        <w:rPr>
          <w:rFonts w:asciiTheme="minorHAnsi" w:eastAsia="Arial" w:hAnsiTheme="minorHAnsi" w:cstheme="minorHAnsi"/>
          <w:spacing w:val="-1"/>
          <w:szCs w:val="24"/>
        </w:rPr>
        <w:t>e</w:t>
      </w:r>
      <w:r w:rsidRPr="0043425A">
        <w:rPr>
          <w:rFonts w:asciiTheme="minorHAnsi" w:eastAsia="Arial" w:hAnsiTheme="minorHAnsi" w:cstheme="minorHAnsi"/>
          <w:szCs w:val="24"/>
        </w:rPr>
        <w:t>d</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f</w:t>
      </w:r>
      <w:r w:rsidRPr="0043425A">
        <w:rPr>
          <w:rFonts w:asciiTheme="minorHAnsi" w:eastAsia="Arial" w:hAnsiTheme="minorHAnsi" w:cstheme="minorHAnsi"/>
          <w:spacing w:val="1"/>
          <w:szCs w:val="24"/>
        </w:rPr>
        <w:t>u</w:t>
      </w:r>
      <w:r w:rsidRPr="0043425A">
        <w:rPr>
          <w:rFonts w:asciiTheme="minorHAnsi" w:eastAsia="Arial" w:hAnsiTheme="minorHAnsi" w:cstheme="minorHAnsi"/>
          <w:szCs w:val="24"/>
        </w:rPr>
        <w:t>rth</w:t>
      </w:r>
      <w:r w:rsidRPr="0043425A">
        <w:rPr>
          <w:rFonts w:asciiTheme="minorHAnsi" w:eastAsia="Arial" w:hAnsiTheme="minorHAnsi" w:cstheme="minorHAnsi"/>
          <w:spacing w:val="1"/>
          <w:szCs w:val="24"/>
        </w:rPr>
        <w:t>e</w:t>
      </w:r>
      <w:r w:rsidRPr="0043425A">
        <w:rPr>
          <w:rFonts w:asciiTheme="minorHAnsi" w:eastAsia="Arial" w:hAnsiTheme="minorHAnsi" w:cstheme="minorHAnsi"/>
          <w:szCs w:val="24"/>
        </w:rPr>
        <w:t>r c</w:t>
      </w:r>
      <w:r w:rsidRPr="0043425A">
        <w:rPr>
          <w:rFonts w:asciiTheme="minorHAnsi" w:eastAsia="Arial" w:hAnsiTheme="minorHAnsi" w:cstheme="minorHAnsi"/>
          <w:spacing w:val="-1"/>
          <w:szCs w:val="24"/>
        </w:rPr>
        <w:t>la</w:t>
      </w:r>
      <w:r w:rsidRPr="0043425A">
        <w:rPr>
          <w:rFonts w:asciiTheme="minorHAnsi" w:eastAsia="Arial" w:hAnsiTheme="minorHAnsi" w:cstheme="minorHAnsi"/>
          <w:szCs w:val="24"/>
        </w:rPr>
        <w:t>r</w:t>
      </w:r>
      <w:r w:rsidRPr="0043425A">
        <w:rPr>
          <w:rFonts w:asciiTheme="minorHAnsi" w:eastAsia="Arial" w:hAnsiTheme="minorHAnsi" w:cstheme="minorHAnsi"/>
          <w:spacing w:val="-1"/>
          <w:szCs w:val="24"/>
        </w:rPr>
        <w:t>i</w:t>
      </w:r>
      <w:r w:rsidRPr="0043425A">
        <w:rPr>
          <w:rFonts w:asciiTheme="minorHAnsi" w:eastAsia="Arial" w:hAnsiTheme="minorHAnsi" w:cstheme="minorHAnsi"/>
          <w:spacing w:val="3"/>
          <w:szCs w:val="24"/>
        </w:rPr>
        <w:t>f</w:t>
      </w:r>
      <w:r w:rsidRPr="0043425A">
        <w:rPr>
          <w:rFonts w:asciiTheme="minorHAnsi" w:eastAsia="Arial" w:hAnsiTheme="minorHAnsi" w:cstheme="minorHAnsi"/>
          <w:szCs w:val="24"/>
        </w:rPr>
        <w:t>ica</w:t>
      </w:r>
      <w:r w:rsidRPr="0043425A">
        <w:rPr>
          <w:rFonts w:asciiTheme="minorHAnsi" w:eastAsia="Arial" w:hAnsiTheme="minorHAnsi" w:cstheme="minorHAnsi"/>
          <w:spacing w:val="1"/>
          <w:szCs w:val="24"/>
        </w:rPr>
        <w:t>t</w:t>
      </w:r>
      <w:r w:rsidRPr="0043425A">
        <w:rPr>
          <w:rFonts w:asciiTheme="minorHAnsi" w:eastAsia="Arial" w:hAnsiTheme="minorHAnsi" w:cstheme="minorHAnsi"/>
          <w:szCs w:val="24"/>
        </w:rPr>
        <w:t>i</w:t>
      </w:r>
      <w:r w:rsidRPr="0043425A">
        <w:rPr>
          <w:rFonts w:asciiTheme="minorHAnsi" w:eastAsia="Arial" w:hAnsiTheme="minorHAnsi" w:cstheme="minorHAnsi"/>
          <w:spacing w:val="-2"/>
          <w:szCs w:val="24"/>
        </w:rPr>
        <w:t>o</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w:t>
      </w:r>
      <w:r w:rsidRPr="0043425A">
        <w:rPr>
          <w:rFonts w:asciiTheme="minorHAnsi" w:eastAsia="Arial" w:hAnsiTheme="minorHAnsi" w:cstheme="minorHAnsi"/>
          <w:spacing w:val="1"/>
          <w:szCs w:val="24"/>
        </w:rPr>
        <w:t xml:space="preserve"> p</w:t>
      </w:r>
      <w:r w:rsidRPr="0043425A">
        <w:rPr>
          <w:rFonts w:asciiTheme="minorHAnsi" w:eastAsia="Arial" w:hAnsiTheme="minorHAnsi" w:cstheme="minorHAnsi"/>
          <w:spacing w:val="-3"/>
          <w:szCs w:val="24"/>
        </w:rPr>
        <w:t>l</w:t>
      </w:r>
      <w:r w:rsidRPr="0043425A">
        <w:rPr>
          <w:rFonts w:asciiTheme="minorHAnsi" w:eastAsia="Arial" w:hAnsiTheme="minorHAnsi" w:cstheme="minorHAnsi"/>
          <w:spacing w:val="1"/>
          <w:szCs w:val="24"/>
        </w:rPr>
        <w:t>ea</w:t>
      </w:r>
      <w:r w:rsidRPr="0043425A">
        <w:rPr>
          <w:rFonts w:asciiTheme="minorHAnsi" w:eastAsia="Arial" w:hAnsiTheme="minorHAnsi" w:cstheme="minorHAnsi"/>
          <w:szCs w:val="24"/>
        </w:rPr>
        <w:t>se</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c</w:t>
      </w:r>
      <w:r w:rsidRPr="0043425A">
        <w:rPr>
          <w:rFonts w:asciiTheme="minorHAnsi" w:eastAsia="Arial" w:hAnsiTheme="minorHAnsi" w:cstheme="minorHAnsi"/>
          <w:spacing w:val="1"/>
          <w:szCs w:val="24"/>
        </w:rPr>
        <w:t>o</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ct</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h</w:t>
      </w:r>
      <w:r w:rsidRPr="0043425A">
        <w:rPr>
          <w:rFonts w:asciiTheme="minorHAnsi" w:eastAsia="Arial" w:hAnsiTheme="minorHAnsi" w:cstheme="minorHAnsi"/>
          <w:szCs w:val="24"/>
        </w:rPr>
        <w:t>e</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B</w:t>
      </w:r>
      <w:r w:rsidRPr="0043425A">
        <w:rPr>
          <w:rFonts w:asciiTheme="minorHAnsi" w:eastAsia="Arial" w:hAnsiTheme="minorHAnsi" w:cstheme="minorHAnsi"/>
          <w:spacing w:val="-2"/>
          <w:szCs w:val="24"/>
        </w:rPr>
        <w:t>P</w:t>
      </w:r>
      <w:r w:rsidRPr="0043425A">
        <w:rPr>
          <w:rFonts w:asciiTheme="minorHAnsi" w:eastAsia="Arial" w:hAnsiTheme="minorHAnsi" w:cstheme="minorHAnsi"/>
          <w:szCs w:val="24"/>
        </w:rPr>
        <w:t xml:space="preserve">A </w:t>
      </w:r>
      <w:r w:rsidRPr="0043425A">
        <w:rPr>
          <w:rFonts w:asciiTheme="minorHAnsi" w:eastAsia="Arial" w:hAnsiTheme="minorHAnsi" w:cstheme="minorHAnsi"/>
          <w:spacing w:val="1"/>
          <w:szCs w:val="24"/>
        </w:rPr>
        <w:t>he</w:t>
      </w:r>
      <w:r w:rsidRPr="0043425A">
        <w:rPr>
          <w:rFonts w:asciiTheme="minorHAnsi" w:eastAsia="Arial" w:hAnsiTheme="minorHAnsi" w:cstheme="minorHAnsi"/>
          <w:spacing w:val="-3"/>
          <w:szCs w:val="24"/>
        </w:rPr>
        <w:t>l</w:t>
      </w:r>
      <w:r w:rsidRPr="0043425A">
        <w:rPr>
          <w:rFonts w:asciiTheme="minorHAnsi" w:eastAsia="Arial" w:hAnsiTheme="minorHAnsi" w:cstheme="minorHAnsi"/>
          <w:spacing w:val="1"/>
          <w:szCs w:val="24"/>
        </w:rPr>
        <w:t>p</w:t>
      </w:r>
      <w:r w:rsidRPr="0043425A">
        <w:rPr>
          <w:rFonts w:asciiTheme="minorHAnsi" w:eastAsia="Arial" w:hAnsiTheme="minorHAnsi" w:cstheme="minorHAnsi"/>
          <w:szCs w:val="24"/>
        </w:rPr>
        <w:t>l</w:t>
      </w:r>
      <w:r w:rsidRPr="0043425A">
        <w:rPr>
          <w:rFonts w:asciiTheme="minorHAnsi" w:eastAsia="Arial" w:hAnsiTheme="minorHAnsi" w:cstheme="minorHAnsi"/>
          <w:spacing w:val="-1"/>
          <w:szCs w:val="24"/>
        </w:rPr>
        <w:t>i</w:t>
      </w:r>
      <w:r w:rsidRPr="0043425A">
        <w:rPr>
          <w:rFonts w:asciiTheme="minorHAnsi" w:eastAsia="Arial" w:hAnsiTheme="minorHAnsi" w:cstheme="minorHAnsi"/>
          <w:spacing w:val="1"/>
          <w:szCs w:val="24"/>
        </w:rPr>
        <w:t>n</w:t>
      </w:r>
      <w:r w:rsidRPr="0043425A">
        <w:rPr>
          <w:rFonts w:asciiTheme="minorHAnsi" w:eastAsia="Arial" w:hAnsiTheme="minorHAnsi" w:cstheme="minorHAnsi"/>
          <w:szCs w:val="24"/>
        </w:rPr>
        <w:t>e</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a</w:t>
      </w:r>
      <w:r w:rsidRPr="0043425A">
        <w:rPr>
          <w:rFonts w:asciiTheme="minorHAnsi" w:eastAsia="Arial" w:hAnsiTheme="minorHAnsi" w:cstheme="minorHAnsi"/>
          <w:szCs w:val="24"/>
        </w:rPr>
        <w:t>t</w:t>
      </w:r>
      <w:r w:rsidRPr="0043425A">
        <w:rPr>
          <w:rFonts w:asciiTheme="minorHAnsi" w:eastAsia="Arial" w:hAnsiTheme="minorHAnsi" w:cstheme="minorHAnsi"/>
          <w:spacing w:val="-1"/>
          <w:szCs w:val="24"/>
        </w:rPr>
        <w:t xml:space="preserve"> </w:t>
      </w:r>
      <w:r w:rsidRPr="0043425A">
        <w:rPr>
          <w:rFonts w:asciiTheme="minorHAnsi" w:eastAsia="Arial" w:hAnsiTheme="minorHAnsi" w:cstheme="minorHAnsi"/>
          <w:spacing w:val="1"/>
          <w:szCs w:val="24"/>
        </w:rPr>
        <w:t>30</w:t>
      </w:r>
      <w:r w:rsidRPr="0043425A">
        <w:rPr>
          <w:rFonts w:asciiTheme="minorHAnsi" w:eastAsia="Arial" w:hAnsiTheme="minorHAnsi" w:cstheme="minorHAnsi"/>
          <w:spacing w:val="12"/>
          <w:szCs w:val="24"/>
        </w:rPr>
        <w:t>1</w:t>
      </w:r>
      <w:r w:rsidRPr="0043425A">
        <w:rPr>
          <w:rFonts w:asciiTheme="minorHAnsi" w:eastAsia="Arial" w:hAnsiTheme="minorHAnsi" w:cstheme="minorHAnsi"/>
          <w:spacing w:val="-1"/>
          <w:szCs w:val="24"/>
        </w:rPr>
        <w:t>-4</w:t>
      </w:r>
      <w:r w:rsidRPr="0043425A">
        <w:rPr>
          <w:rFonts w:asciiTheme="minorHAnsi" w:eastAsia="Arial" w:hAnsiTheme="minorHAnsi" w:cstheme="minorHAnsi"/>
          <w:spacing w:val="1"/>
          <w:szCs w:val="24"/>
        </w:rPr>
        <w:t>96</w:t>
      </w:r>
      <w:r w:rsidRPr="0043425A">
        <w:rPr>
          <w:rFonts w:asciiTheme="minorHAnsi" w:eastAsia="Arial" w:hAnsiTheme="minorHAnsi" w:cstheme="minorHAnsi"/>
          <w:szCs w:val="24"/>
        </w:rPr>
        <w:t>-</w:t>
      </w:r>
      <w:r w:rsidRPr="0043425A">
        <w:rPr>
          <w:rFonts w:asciiTheme="minorHAnsi" w:eastAsia="Arial" w:hAnsiTheme="minorHAnsi" w:cstheme="minorHAnsi"/>
          <w:spacing w:val="1"/>
          <w:position w:val="-1"/>
          <w:szCs w:val="24"/>
        </w:rPr>
        <w:t>52</w:t>
      </w:r>
      <w:r w:rsidRPr="0043425A">
        <w:rPr>
          <w:rFonts w:asciiTheme="minorHAnsi" w:eastAsia="Arial" w:hAnsiTheme="minorHAnsi" w:cstheme="minorHAnsi"/>
          <w:spacing w:val="-1"/>
          <w:position w:val="-1"/>
          <w:szCs w:val="24"/>
        </w:rPr>
        <w:t>1</w:t>
      </w:r>
      <w:r w:rsidRPr="0043425A">
        <w:rPr>
          <w:rFonts w:asciiTheme="minorHAnsi" w:eastAsia="Arial" w:hAnsiTheme="minorHAnsi" w:cstheme="minorHAnsi"/>
          <w:position w:val="-1"/>
          <w:szCs w:val="24"/>
        </w:rPr>
        <w:t>2</w:t>
      </w:r>
      <w:r w:rsidRPr="0043425A">
        <w:rPr>
          <w:rFonts w:asciiTheme="minorHAnsi" w:eastAsia="Arial" w:hAnsiTheme="minorHAnsi" w:cstheme="minorHAnsi"/>
          <w:spacing w:val="1"/>
          <w:position w:val="-1"/>
          <w:szCs w:val="24"/>
        </w:rPr>
        <w:t xml:space="preserve"> o</w:t>
      </w:r>
      <w:r w:rsidRPr="0043425A">
        <w:rPr>
          <w:rFonts w:asciiTheme="minorHAnsi" w:eastAsia="Arial" w:hAnsiTheme="minorHAnsi" w:cstheme="minorHAnsi"/>
          <w:position w:val="-1"/>
          <w:szCs w:val="24"/>
        </w:rPr>
        <w:t xml:space="preserve">r </w:t>
      </w:r>
      <w:hyperlink r:id="rId22" w:tooltip="mailto:BPAProgramBranch@od.nih.gov">
        <w:r w:rsidRPr="0000261D">
          <w:rPr>
            <w:rStyle w:val="Hyperlink"/>
          </w:rPr>
          <w:t>email</w:t>
        </w:r>
      </w:hyperlink>
      <w:r w:rsidRPr="0000261D">
        <w:t>.</w:t>
      </w:r>
    </w:p>
    <w:p w14:paraId="415C171E" w14:textId="75ACED79" w:rsidR="00CF32EE" w:rsidRPr="00717AF1" w:rsidRDefault="00CF32EE" w:rsidP="00CF32EE">
      <w:pPr>
        <w:pStyle w:val="Heading1"/>
        <w:jc w:val="left"/>
      </w:pPr>
      <w:r w:rsidRPr="00717AF1">
        <w:t>THANKS!</w:t>
      </w:r>
    </w:p>
    <w:p w14:paraId="04EFAF9F" w14:textId="77777777" w:rsidR="00CF32EE" w:rsidRPr="00717AF1" w:rsidRDefault="00CF32EE" w:rsidP="00CF32EE">
      <w:r w:rsidRPr="00717AF1">
        <w:t>We would like to thank all those who contributed to this and future editions of the OALM Newsletter.</w:t>
      </w:r>
    </w:p>
    <w:p w14:paraId="7A311271" w14:textId="6461446D" w:rsidR="00CF32EE" w:rsidRPr="00717AF1" w:rsidRDefault="00CF32EE" w:rsidP="00CF32EE">
      <w:r w:rsidRPr="00717AF1">
        <w:t xml:space="preserve">The OALM Newsletter will be published </w:t>
      </w:r>
      <w:r>
        <w:t>four</w:t>
      </w:r>
      <w:r w:rsidRPr="00717AF1">
        <w:t xml:space="preserve"> (4) times in calendar year 20</w:t>
      </w:r>
      <w:r w:rsidR="00135FE0">
        <w:t>20</w:t>
      </w:r>
      <w:r w:rsidRPr="00717AF1">
        <w:t>. We encourage staff to submit articles that would be of interest to our readers. We will do our best to include such articles in future editions of the OALM Newsletter.</w:t>
      </w:r>
    </w:p>
    <w:p w14:paraId="479D7548" w14:textId="77777777" w:rsidR="00CF32EE" w:rsidRPr="004D1E09" w:rsidRDefault="00CF32EE" w:rsidP="00CF32EE">
      <w:r w:rsidRPr="004D1E09">
        <w:t xml:space="preserve">Please address all correspondence to the editors: Milton Nicholas, </w:t>
      </w:r>
      <w:hyperlink r:id="rId23" w:tooltip="NicholaM@od.nih.gov" w:history="1">
        <w:r w:rsidRPr="004D1E09">
          <w:rPr>
            <w:rStyle w:val="Hyperlink"/>
          </w:rPr>
          <w:t>NicholaM@od.nih.gov</w:t>
        </w:r>
      </w:hyperlink>
      <w:r w:rsidRPr="004D1E09">
        <w:t xml:space="preserve"> Michele McDermott, </w:t>
      </w:r>
      <w:hyperlink r:id="rId24" w:tooltip="McDermottMl@od.nih.gov" w:history="1">
        <w:r w:rsidRPr="004D1E09">
          <w:rPr>
            <w:rStyle w:val="Hyperlink"/>
          </w:rPr>
          <w:t>McDermottMl@od.nih.gov</w:t>
        </w:r>
      </w:hyperlink>
      <w:r w:rsidRPr="004D1E09">
        <w:t xml:space="preserve">, Jesse Lee, </w:t>
      </w:r>
      <w:hyperlink r:id="rId25" w:history="1">
        <w:r w:rsidRPr="004D1E09">
          <w:rPr>
            <w:rStyle w:val="Hyperlink"/>
          </w:rPr>
          <w:t>Jesse.Lee2@nih.gov</w:t>
        </w:r>
      </w:hyperlink>
      <w:hyperlink r:id="rId26" w:history="1">
        <w:r w:rsidRPr="004D1E09">
          <w:rPr>
            <w:rStyle w:val="Hyperlink"/>
          </w:rPr>
          <w:t xml:space="preserve">, </w:t>
        </w:r>
      </w:hyperlink>
      <w:r w:rsidRPr="004D1E09">
        <w:t xml:space="preserve"> or Barry Solomon, </w:t>
      </w:r>
      <w:hyperlink r:id="rId27" w:tooltip="SolomonBJ@od.nih.gov" w:history="1">
        <w:r w:rsidRPr="004D1E09">
          <w:rPr>
            <w:rStyle w:val="Hyperlink"/>
          </w:rPr>
          <w:t>SolomonBJ@od.nih.gov</w:t>
        </w:r>
      </w:hyperlink>
      <w:r w:rsidRPr="004D1E09">
        <w:t>.</w:t>
      </w:r>
    </w:p>
    <w:p w14:paraId="7EA92B49" w14:textId="3E4E1A2A" w:rsidR="00CF32EE" w:rsidRPr="00717AF1" w:rsidRDefault="00CF32EE" w:rsidP="00CF32EE">
      <w:r w:rsidRPr="00717AF1">
        <w:t xml:space="preserve">If </w:t>
      </w:r>
      <w:r w:rsidRPr="00717AF1">
        <w:rPr>
          <w:spacing w:val="-2"/>
        </w:rPr>
        <w:t>y</w:t>
      </w:r>
      <w:r w:rsidRPr="00717AF1">
        <w:t>ou</w:t>
      </w:r>
      <w:r w:rsidRPr="00717AF1">
        <w:rPr>
          <w:spacing w:val="2"/>
        </w:rPr>
        <w:t xml:space="preserve"> </w:t>
      </w:r>
      <w:r w:rsidRPr="00717AF1">
        <w:t>ha</w:t>
      </w:r>
      <w:r w:rsidRPr="00717AF1">
        <w:rPr>
          <w:spacing w:val="-2"/>
        </w:rPr>
        <w:t>v</w:t>
      </w:r>
      <w:r w:rsidRPr="00717AF1">
        <w:t>e</w:t>
      </w:r>
      <w:r w:rsidRPr="00717AF1">
        <w:rPr>
          <w:spacing w:val="2"/>
        </w:rPr>
        <w:t xml:space="preserve"> </w:t>
      </w:r>
      <w:r w:rsidRPr="00717AF1">
        <w:rPr>
          <w:spacing w:val="-1"/>
        </w:rPr>
        <w:t>a</w:t>
      </w:r>
      <w:r w:rsidRPr="00717AF1">
        <w:t>ny</w:t>
      </w:r>
      <w:r w:rsidRPr="00717AF1">
        <w:rPr>
          <w:spacing w:val="-2"/>
        </w:rPr>
        <w:t xml:space="preserve"> </w:t>
      </w:r>
      <w:r w:rsidRPr="00717AF1">
        <w:rPr>
          <w:spacing w:val="-1"/>
        </w:rPr>
        <w:t>q</w:t>
      </w:r>
      <w:r w:rsidRPr="00717AF1">
        <w:t>uest</w:t>
      </w:r>
      <w:r w:rsidRPr="00717AF1">
        <w:rPr>
          <w:spacing w:val="-1"/>
        </w:rPr>
        <w:t>i</w:t>
      </w:r>
      <w:r w:rsidRPr="00717AF1">
        <w:t xml:space="preserve">ons or </w:t>
      </w:r>
      <w:r w:rsidRPr="00717AF1">
        <w:rPr>
          <w:spacing w:val="-2"/>
        </w:rPr>
        <w:t>c</w:t>
      </w:r>
      <w:r w:rsidRPr="00717AF1">
        <w:t>o</w:t>
      </w:r>
      <w:r w:rsidRPr="00717AF1">
        <w:rPr>
          <w:spacing w:val="-1"/>
        </w:rPr>
        <w:t>m</w:t>
      </w:r>
      <w:r w:rsidRPr="00717AF1">
        <w:rPr>
          <w:spacing w:val="2"/>
        </w:rPr>
        <w:t>m</w:t>
      </w:r>
      <w:r w:rsidRPr="00717AF1">
        <w:rPr>
          <w:spacing w:val="-1"/>
        </w:rPr>
        <w:t>e</w:t>
      </w:r>
      <w:r w:rsidRPr="00717AF1">
        <w:t xml:space="preserve">nts </w:t>
      </w:r>
      <w:r w:rsidRPr="00717AF1">
        <w:rPr>
          <w:spacing w:val="-1"/>
        </w:rPr>
        <w:t>r</w:t>
      </w:r>
      <w:r w:rsidRPr="00717AF1">
        <w:t>e</w:t>
      </w:r>
      <w:r w:rsidRPr="00717AF1">
        <w:rPr>
          <w:spacing w:val="-2"/>
        </w:rPr>
        <w:t>g</w:t>
      </w:r>
      <w:r w:rsidRPr="00717AF1">
        <w:rPr>
          <w:spacing w:val="-1"/>
        </w:rPr>
        <w:t>ar</w:t>
      </w:r>
      <w:r w:rsidRPr="00717AF1">
        <w:t>d</w:t>
      </w:r>
      <w:r w:rsidRPr="00717AF1">
        <w:rPr>
          <w:spacing w:val="-1"/>
        </w:rPr>
        <w:t>i</w:t>
      </w:r>
      <w:r w:rsidRPr="00717AF1">
        <w:t>ng</w:t>
      </w:r>
      <w:r w:rsidRPr="00717AF1">
        <w:rPr>
          <w:spacing w:val="-1"/>
        </w:rPr>
        <w:t xml:space="preserve"> </w:t>
      </w:r>
      <w:r w:rsidRPr="00717AF1">
        <w:t>the</w:t>
      </w:r>
      <w:r w:rsidRPr="00717AF1">
        <w:rPr>
          <w:spacing w:val="2"/>
        </w:rPr>
        <w:t xml:space="preserve"> </w:t>
      </w:r>
      <w:r w:rsidRPr="00717AF1">
        <w:rPr>
          <w:spacing w:val="-1"/>
        </w:rPr>
        <w:t>in</w:t>
      </w:r>
      <w:r w:rsidRPr="00717AF1">
        <w:t>fo</w:t>
      </w:r>
      <w:r w:rsidRPr="00717AF1">
        <w:rPr>
          <w:spacing w:val="-1"/>
        </w:rPr>
        <w:t>rm</w:t>
      </w:r>
      <w:r w:rsidRPr="00717AF1">
        <w:t>at</w:t>
      </w:r>
      <w:r w:rsidRPr="00717AF1">
        <w:rPr>
          <w:spacing w:val="-1"/>
        </w:rPr>
        <w:t>i</w:t>
      </w:r>
      <w:r w:rsidRPr="00717AF1">
        <w:t>o</w:t>
      </w:r>
      <w:r w:rsidRPr="00717AF1">
        <w:rPr>
          <w:spacing w:val="-2"/>
        </w:rPr>
        <w:t>n</w:t>
      </w:r>
      <w:r w:rsidRPr="00717AF1">
        <w:t xml:space="preserve">, </w:t>
      </w:r>
      <w:r w:rsidRPr="00717AF1">
        <w:rPr>
          <w:spacing w:val="-1"/>
        </w:rPr>
        <w:t>p</w:t>
      </w:r>
      <w:r w:rsidRPr="00717AF1">
        <w:t>o</w:t>
      </w:r>
      <w:r w:rsidRPr="00717AF1">
        <w:rPr>
          <w:spacing w:val="-1"/>
        </w:rPr>
        <w:t>li</w:t>
      </w:r>
      <w:r w:rsidRPr="00717AF1">
        <w:t>cy</w:t>
      </w:r>
      <w:r w:rsidRPr="00717AF1">
        <w:rPr>
          <w:spacing w:val="-2"/>
        </w:rPr>
        <w:t xml:space="preserve"> </w:t>
      </w:r>
      <w:r w:rsidRPr="00717AF1">
        <w:t>and/or p</w:t>
      </w:r>
      <w:r w:rsidRPr="00717AF1">
        <w:rPr>
          <w:spacing w:val="-1"/>
        </w:rPr>
        <w:t>r</w:t>
      </w:r>
      <w:r w:rsidRPr="00717AF1">
        <w:t>oce</w:t>
      </w:r>
      <w:r w:rsidRPr="00717AF1">
        <w:rPr>
          <w:spacing w:val="-2"/>
        </w:rPr>
        <w:t>d</w:t>
      </w:r>
      <w:r w:rsidRPr="00717AF1">
        <w:t>u</w:t>
      </w:r>
      <w:r w:rsidRPr="00717AF1">
        <w:rPr>
          <w:spacing w:val="-1"/>
        </w:rPr>
        <w:t>r</w:t>
      </w:r>
      <w:r w:rsidRPr="00717AF1">
        <w:t xml:space="preserve">es </w:t>
      </w:r>
      <w:r w:rsidRPr="00717AF1">
        <w:rPr>
          <w:spacing w:val="-1"/>
        </w:rPr>
        <w:t>p</w:t>
      </w:r>
      <w:r w:rsidRPr="00717AF1">
        <w:t>ub</w:t>
      </w:r>
      <w:r w:rsidRPr="00717AF1">
        <w:rPr>
          <w:spacing w:val="-1"/>
        </w:rPr>
        <w:t>li</w:t>
      </w:r>
      <w:r w:rsidRPr="00717AF1">
        <w:t>sh</w:t>
      </w:r>
      <w:r w:rsidRPr="00717AF1">
        <w:rPr>
          <w:spacing w:val="-2"/>
        </w:rPr>
        <w:t>e</w:t>
      </w:r>
      <w:r w:rsidRPr="00717AF1">
        <w:t>d</w:t>
      </w:r>
      <w:r w:rsidRPr="00717AF1">
        <w:rPr>
          <w:spacing w:val="2"/>
        </w:rPr>
        <w:t xml:space="preserve"> </w:t>
      </w:r>
      <w:r w:rsidRPr="00717AF1">
        <w:rPr>
          <w:spacing w:val="-3"/>
        </w:rPr>
        <w:t>i</w:t>
      </w:r>
      <w:r w:rsidRPr="00717AF1">
        <w:t>n</w:t>
      </w:r>
      <w:r w:rsidRPr="00717AF1">
        <w:rPr>
          <w:spacing w:val="2"/>
        </w:rPr>
        <w:t xml:space="preserve"> </w:t>
      </w:r>
      <w:r w:rsidRPr="00717AF1">
        <w:t>th</w:t>
      </w:r>
      <w:r w:rsidRPr="00717AF1">
        <w:rPr>
          <w:spacing w:val="-1"/>
        </w:rPr>
        <w:t>i</w:t>
      </w:r>
      <w:r w:rsidRPr="00717AF1">
        <w:t xml:space="preserve">s </w:t>
      </w:r>
      <w:r w:rsidRPr="00717AF1">
        <w:rPr>
          <w:spacing w:val="-1"/>
        </w:rPr>
        <w:t>i</w:t>
      </w:r>
      <w:r w:rsidRPr="00717AF1">
        <w:t>ss</w:t>
      </w:r>
      <w:r w:rsidRPr="00717AF1">
        <w:rPr>
          <w:spacing w:val="-1"/>
        </w:rPr>
        <w:t>u</w:t>
      </w:r>
      <w:r w:rsidRPr="00717AF1">
        <w:t xml:space="preserve">e, </w:t>
      </w:r>
      <w:r w:rsidRPr="00717AF1">
        <w:rPr>
          <w:spacing w:val="-2"/>
        </w:rPr>
        <w:t>y</w:t>
      </w:r>
      <w:r w:rsidRPr="00717AF1">
        <w:t>ou</w:t>
      </w:r>
      <w:r w:rsidRPr="00717AF1">
        <w:rPr>
          <w:spacing w:val="-1"/>
        </w:rPr>
        <w:t xml:space="preserve"> </w:t>
      </w:r>
      <w:r w:rsidRPr="00717AF1">
        <w:rPr>
          <w:spacing w:val="2"/>
        </w:rPr>
        <w:t>m</w:t>
      </w:r>
      <w:r w:rsidRPr="00717AF1">
        <w:t>ay</w:t>
      </w:r>
      <w:r w:rsidRPr="00717AF1">
        <w:rPr>
          <w:spacing w:val="-2"/>
        </w:rPr>
        <w:t xml:space="preserve"> </w:t>
      </w:r>
      <w:r w:rsidRPr="00717AF1">
        <w:t>conta</w:t>
      </w:r>
      <w:r w:rsidRPr="00717AF1">
        <w:rPr>
          <w:spacing w:val="-2"/>
        </w:rPr>
        <w:t>c</w:t>
      </w:r>
      <w:r w:rsidRPr="00717AF1">
        <w:t xml:space="preserve">t </w:t>
      </w:r>
      <w:r w:rsidR="00135FE0">
        <w:t>Jesse Lee</w:t>
      </w:r>
      <w:r w:rsidRPr="00717AF1">
        <w:t xml:space="preserve"> at t</w:t>
      </w:r>
      <w:r w:rsidRPr="00717AF1">
        <w:rPr>
          <w:spacing w:val="-1"/>
        </w:rPr>
        <w:t>h</w:t>
      </w:r>
      <w:r w:rsidRPr="00717AF1">
        <w:t>e</w:t>
      </w:r>
      <w:r w:rsidRPr="00717AF1">
        <w:rPr>
          <w:spacing w:val="2"/>
        </w:rPr>
        <w:t xml:space="preserve"> </w:t>
      </w:r>
      <w:r w:rsidRPr="00717AF1">
        <w:t>e</w:t>
      </w:r>
      <w:r w:rsidRPr="00717AF1">
        <w:rPr>
          <w:spacing w:val="-3"/>
        </w:rPr>
        <w:t>-</w:t>
      </w:r>
      <w:r w:rsidRPr="00717AF1">
        <w:rPr>
          <w:spacing w:val="2"/>
        </w:rPr>
        <w:t>m</w:t>
      </w:r>
      <w:r w:rsidRPr="00717AF1">
        <w:t>ail add</w:t>
      </w:r>
      <w:r w:rsidRPr="00717AF1">
        <w:rPr>
          <w:spacing w:val="-1"/>
        </w:rPr>
        <w:t>r</w:t>
      </w:r>
      <w:r w:rsidRPr="00717AF1">
        <w:t>ess</w:t>
      </w:r>
      <w:r w:rsidRPr="00717AF1">
        <w:rPr>
          <w:spacing w:val="-2"/>
        </w:rPr>
        <w:t xml:space="preserve"> </w:t>
      </w:r>
      <w:r w:rsidRPr="00717AF1">
        <w:t>a</w:t>
      </w:r>
      <w:r w:rsidRPr="00717AF1">
        <w:rPr>
          <w:spacing w:val="-2"/>
        </w:rPr>
        <w:t>b</w:t>
      </w:r>
      <w:r w:rsidRPr="00717AF1">
        <w:t>o</w:t>
      </w:r>
      <w:r w:rsidRPr="00717AF1">
        <w:rPr>
          <w:spacing w:val="-2"/>
        </w:rPr>
        <w:t>v</w:t>
      </w:r>
      <w:r w:rsidRPr="00717AF1">
        <w:t>e. For</w:t>
      </w:r>
      <w:r w:rsidRPr="00717AF1">
        <w:rPr>
          <w:spacing w:val="-2"/>
        </w:rPr>
        <w:t xml:space="preserve"> </w:t>
      </w:r>
      <w:r w:rsidRPr="00717AF1">
        <w:rPr>
          <w:spacing w:val="3"/>
        </w:rPr>
        <w:t>f</w:t>
      </w:r>
      <w:r w:rsidRPr="00717AF1">
        <w:rPr>
          <w:spacing w:val="-1"/>
        </w:rPr>
        <w:t>u</w:t>
      </w:r>
      <w:r w:rsidRPr="00717AF1">
        <w:t>tu</w:t>
      </w:r>
      <w:r w:rsidRPr="00717AF1">
        <w:rPr>
          <w:spacing w:val="-1"/>
        </w:rPr>
        <w:t>r</w:t>
      </w:r>
      <w:r w:rsidRPr="00717AF1">
        <w:t>e</w:t>
      </w:r>
      <w:r w:rsidRPr="00717AF1">
        <w:rPr>
          <w:spacing w:val="2"/>
        </w:rPr>
        <w:t xml:space="preserve"> </w:t>
      </w:r>
      <w:r w:rsidRPr="00717AF1">
        <w:rPr>
          <w:spacing w:val="-1"/>
        </w:rPr>
        <w:t>i</w:t>
      </w:r>
      <w:r w:rsidRPr="00717AF1">
        <w:t>ssues</w:t>
      </w:r>
      <w:r w:rsidRPr="00717AF1">
        <w:rPr>
          <w:spacing w:val="-2"/>
        </w:rPr>
        <w:t xml:space="preserve"> </w:t>
      </w:r>
      <w:r w:rsidRPr="00717AF1">
        <w:t>p</w:t>
      </w:r>
      <w:r w:rsidRPr="00717AF1">
        <w:rPr>
          <w:spacing w:val="-1"/>
        </w:rPr>
        <w:t>le</w:t>
      </w:r>
      <w:r w:rsidRPr="00717AF1">
        <w:t>ase</w:t>
      </w:r>
      <w:r w:rsidRPr="00717AF1">
        <w:rPr>
          <w:spacing w:val="2"/>
        </w:rPr>
        <w:t xml:space="preserve"> </w:t>
      </w:r>
      <w:r w:rsidRPr="00717AF1">
        <w:rPr>
          <w:spacing w:val="-2"/>
        </w:rPr>
        <w:t>c</w:t>
      </w:r>
      <w:r w:rsidRPr="00717AF1">
        <w:t>on</w:t>
      </w:r>
      <w:r w:rsidRPr="00717AF1">
        <w:rPr>
          <w:spacing w:val="-2"/>
        </w:rPr>
        <w:t>t</w:t>
      </w:r>
      <w:r w:rsidRPr="00717AF1">
        <w:t>act t</w:t>
      </w:r>
      <w:r w:rsidRPr="00717AF1">
        <w:rPr>
          <w:spacing w:val="-1"/>
        </w:rPr>
        <w:t>h</w:t>
      </w:r>
      <w:r w:rsidRPr="00717AF1">
        <w:t>e</w:t>
      </w:r>
      <w:r w:rsidRPr="00717AF1">
        <w:rPr>
          <w:spacing w:val="2"/>
        </w:rPr>
        <w:t xml:space="preserve"> </w:t>
      </w:r>
      <w:r w:rsidRPr="00717AF1">
        <w:t>S</w:t>
      </w:r>
      <w:r w:rsidRPr="00717AF1">
        <w:rPr>
          <w:spacing w:val="-3"/>
        </w:rPr>
        <w:t>i</w:t>
      </w:r>
      <w:r w:rsidRPr="00717AF1">
        <w:rPr>
          <w:spacing w:val="2"/>
        </w:rPr>
        <w:t>m</w:t>
      </w:r>
      <w:r w:rsidRPr="00717AF1">
        <w:t>p</w:t>
      </w:r>
      <w:r w:rsidRPr="00717AF1">
        <w:rPr>
          <w:spacing w:val="-1"/>
        </w:rPr>
        <w:t>l</w:t>
      </w:r>
      <w:r w:rsidRPr="00717AF1">
        <w:rPr>
          <w:spacing w:val="-3"/>
        </w:rPr>
        <w:t>i</w:t>
      </w:r>
      <w:r w:rsidRPr="00717AF1">
        <w:rPr>
          <w:spacing w:val="3"/>
        </w:rPr>
        <w:t>f</w:t>
      </w:r>
      <w:r w:rsidRPr="00717AF1">
        <w:rPr>
          <w:spacing w:val="-1"/>
        </w:rPr>
        <w:t>i</w:t>
      </w:r>
      <w:r w:rsidRPr="00717AF1">
        <w:t>ed</w:t>
      </w:r>
      <w:r w:rsidRPr="00717AF1">
        <w:rPr>
          <w:spacing w:val="-1"/>
        </w:rPr>
        <w:t xml:space="preserve"> </w:t>
      </w:r>
      <w:r w:rsidRPr="00717AF1">
        <w:t>Ac</w:t>
      </w:r>
      <w:r w:rsidRPr="00717AF1">
        <w:rPr>
          <w:spacing w:val="-1"/>
        </w:rPr>
        <w:t>qui</w:t>
      </w:r>
      <w:r w:rsidRPr="00717AF1">
        <w:t>s</w:t>
      </w:r>
      <w:r w:rsidRPr="00717AF1">
        <w:rPr>
          <w:spacing w:val="-1"/>
        </w:rPr>
        <w:t>i</w:t>
      </w:r>
      <w:r w:rsidRPr="00717AF1">
        <w:t>t</w:t>
      </w:r>
      <w:r w:rsidRPr="00717AF1">
        <w:rPr>
          <w:spacing w:val="-1"/>
        </w:rPr>
        <w:t>i</w:t>
      </w:r>
      <w:r w:rsidRPr="00717AF1">
        <w:t xml:space="preserve">ons </w:t>
      </w:r>
      <w:r w:rsidRPr="00717AF1">
        <w:rPr>
          <w:spacing w:val="-1"/>
        </w:rPr>
        <w:t>H</w:t>
      </w:r>
      <w:r w:rsidRPr="00717AF1">
        <w:t>e</w:t>
      </w:r>
      <w:r w:rsidRPr="00717AF1">
        <w:rPr>
          <w:spacing w:val="-1"/>
        </w:rPr>
        <w:t>l</w:t>
      </w:r>
      <w:r w:rsidRPr="00717AF1">
        <w:t>p</w:t>
      </w:r>
      <w:r w:rsidRPr="00717AF1">
        <w:rPr>
          <w:spacing w:val="-1"/>
        </w:rPr>
        <w:t>li</w:t>
      </w:r>
      <w:r w:rsidRPr="00717AF1">
        <w:t>ne</w:t>
      </w:r>
      <w:r w:rsidRPr="00717AF1">
        <w:rPr>
          <w:spacing w:val="-1"/>
        </w:rPr>
        <w:t xml:space="preserve"> </w:t>
      </w:r>
      <w:r w:rsidRPr="00717AF1">
        <w:t>on 301</w:t>
      </w:r>
      <w:r w:rsidRPr="00717AF1">
        <w:rPr>
          <w:spacing w:val="-1"/>
        </w:rPr>
        <w:t>-4</w:t>
      </w:r>
      <w:r w:rsidRPr="00717AF1">
        <w:t>96</w:t>
      </w:r>
      <w:r w:rsidRPr="00717AF1">
        <w:rPr>
          <w:spacing w:val="-1"/>
        </w:rPr>
        <w:t>-</w:t>
      </w:r>
      <w:r w:rsidRPr="00717AF1">
        <w:t>0</w:t>
      </w:r>
      <w:r w:rsidRPr="00717AF1">
        <w:rPr>
          <w:spacing w:val="-2"/>
        </w:rPr>
        <w:t>4</w:t>
      </w:r>
      <w:r w:rsidRPr="00717AF1">
        <w:t>00</w:t>
      </w:r>
      <w:r w:rsidRPr="00717AF1">
        <w:rPr>
          <w:spacing w:val="-1"/>
        </w:rPr>
        <w:t xml:space="preserve"> </w:t>
      </w:r>
      <w:r w:rsidRPr="00717AF1">
        <w:t xml:space="preserve">or </w:t>
      </w:r>
      <w:r w:rsidRPr="00717AF1">
        <w:rPr>
          <w:spacing w:val="-2"/>
        </w:rPr>
        <w:t>v</w:t>
      </w:r>
      <w:r w:rsidRPr="00717AF1">
        <w:rPr>
          <w:spacing w:val="-1"/>
        </w:rPr>
        <w:t>i</w:t>
      </w:r>
      <w:r w:rsidRPr="00717AF1">
        <w:t>a</w:t>
      </w:r>
      <w:r w:rsidRPr="00717AF1">
        <w:rPr>
          <w:spacing w:val="2"/>
        </w:rPr>
        <w:t xml:space="preserve"> </w:t>
      </w:r>
      <w:r w:rsidRPr="00717AF1">
        <w:t>e</w:t>
      </w:r>
      <w:r w:rsidRPr="00717AF1">
        <w:rPr>
          <w:spacing w:val="-1"/>
        </w:rPr>
        <w:t>-</w:t>
      </w:r>
      <w:r w:rsidRPr="00717AF1">
        <w:rPr>
          <w:spacing w:val="2"/>
        </w:rPr>
        <w:t>m</w:t>
      </w:r>
      <w:r w:rsidRPr="00717AF1">
        <w:t xml:space="preserve">ail at </w:t>
      </w:r>
      <w:hyperlink r:id="rId28" w:tooltip="OALMnewsletter@mail.nih.gov" w:history="1">
        <w:r w:rsidRPr="00717AF1">
          <w:rPr>
            <w:color w:val="0563C1"/>
            <w:u w:val="single"/>
          </w:rPr>
          <w:t>OALMnewsletter@mail.nih.gov</w:t>
        </w:r>
      </w:hyperlink>
      <w:hyperlink>
        <w:r w:rsidRPr="00717AF1">
          <w:rPr>
            <w:color w:val="000000"/>
          </w:rPr>
          <w:t xml:space="preserve"> and</w:t>
        </w:r>
        <w:r w:rsidRPr="00717AF1">
          <w:rPr>
            <w:color w:val="000000"/>
            <w:spacing w:val="-1"/>
          </w:rPr>
          <w:t xml:space="preserve"> </w:t>
        </w:r>
        <w:r w:rsidRPr="00717AF1">
          <w:rPr>
            <w:color w:val="000000"/>
            <w:spacing w:val="-2"/>
          </w:rPr>
          <w:t>y</w:t>
        </w:r>
        <w:r w:rsidRPr="00717AF1">
          <w:rPr>
            <w:color w:val="000000"/>
          </w:rPr>
          <w:t>ou</w:t>
        </w:r>
        <w:r w:rsidRPr="00717AF1">
          <w:rPr>
            <w:color w:val="000000"/>
            <w:spacing w:val="2"/>
          </w:rPr>
          <w:t xml:space="preserve"> </w:t>
        </w:r>
        <w:r w:rsidRPr="00717AF1">
          <w:rPr>
            <w:color w:val="000000"/>
            <w:spacing w:val="-3"/>
          </w:rPr>
          <w:t>w</w:t>
        </w:r>
        <w:r w:rsidRPr="00717AF1">
          <w:rPr>
            <w:color w:val="000000"/>
            <w:spacing w:val="-1"/>
          </w:rPr>
          <w:t>il</w:t>
        </w:r>
        <w:r w:rsidRPr="00717AF1">
          <w:rPr>
            <w:color w:val="000000"/>
          </w:rPr>
          <w:t xml:space="preserve">l be </w:t>
        </w:r>
        <w:r w:rsidRPr="00717AF1">
          <w:rPr>
            <w:color w:val="000000"/>
            <w:spacing w:val="-1"/>
          </w:rPr>
          <w:t>r</w:t>
        </w:r>
        <w:r w:rsidRPr="00717AF1">
          <w:rPr>
            <w:color w:val="000000"/>
          </w:rPr>
          <w:t>efe</w:t>
        </w:r>
        <w:r w:rsidRPr="00717AF1">
          <w:rPr>
            <w:color w:val="000000"/>
            <w:spacing w:val="-1"/>
          </w:rPr>
          <w:t>rr</w:t>
        </w:r>
        <w:r w:rsidRPr="00717AF1">
          <w:rPr>
            <w:color w:val="000000"/>
          </w:rPr>
          <w:t>ed</w:t>
        </w:r>
        <w:r w:rsidRPr="00717AF1">
          <w:rPr>
            <w:color w:val="000000"/>
            <w:spacing w:val="2"/>
          </w:rPr>
          <w:t xml:space="preserve"> </w:t>
        </w:r>
        <w:r w:rsidRPr="00717AF1">
          <w:rPr>
            <w:color w:val="000000"/>
            <w:spacing w:val="-2"/>
          </w:rPr>
          <w:t>t</w:t>
        </w:r>
        <w:r w:rsidRPr="00717AF1">
          <w:rPr>
            <w:color w:val="000000"/>
          </w:rPr>
          <w:t>o</w:t>
        </w:r>
        <w:r w:rsidRPr="00717AF1">
          <w:rPr>
            <w:color w:val="000000"/>
            <w:spacing w:val="2"/>
          </w:rPr>
          <w:t xml:space="preserve"> </w:t>
        </w:r>
        <w:r w:rsidRPr="00717AF1">
          <w:rPr>
            <w:color w:val="000000"/>
          </w:rPr>
          <w:t>t</w:t>
        </w:r>
        <w:r w:rsidRPr="00717AF1">
          <w:rPr>
            <w:color w:val="000000"/>
            <w:spacing w:val="-1"/>
          </w:rPr>
          <w:t>h</w:t>
        </w:r>
        <w:r w:rsidRPr="00717AF1">
          <w:rPr>
            <w:color w:val="000000"/>
          </w:rPr>
          <w:t>e</w:t>
        </w:r>
        <w:r w:rsidRPr="00717AF1">
          <w:rPr>
            <w:color w:val="000000"/>
            <w:spacing w:val="2"/>
          </w:rPr>
          <w:t xml:space="preserve"> </w:t>
        </w:r>
        <w:r w:rsidRPr="00717AF1">
          <w:rPr>
            <w:color w:val="000000"/>
            <w:spacing w:val="-1"/>
          </w:rPr>
          <w:t>a</w:t>
        </w:r>
        <w:r w:rsidRPr="00717AF1">
          <w:rPr>
            <w:color w:val="000000"/>
          </w:rPr>
          <w:t>pp</w:t>
        </w:r>
        <w:r w:rsidRPr="00717AF1">
          <w:rPr>
            <w:color w:val="000000"/>
            <w:spacing w:val="-1"/>
          </w:rPr>
          <w:t>ro</w:t>
        </w:r>
        <w:r w:rsidRPr="00717AF1">
          <w:rPr>
            <w:color w:val="000000"/>
          </w:rPr>
          <w:t>p</w:t>
        </w:r>
        <w:r w:rsidRPr="00717AF1">
          <w:rPr>
            <w:color w:val="000000"/>
            <w:spacing w:val="-1"/>
          </w:rPr>
          <w:t>ri</w:t>
        </w:r>
        <w:r w:rsidRPr="00717AF1">
          <w:rPr>
            <w:color w:val="000000"/>
          </w:rPr>
          <w:t>ate</w:t>
        </w:r>
        <w:r w:rsidRPr="00717AF1">
          <w:rPr>
            <w:color w:val="000000"/>
            <w:spacing w:val="-1"/>
          </w:rPr>
          <w:t xml:space="preserve"> </w:t>
        </w:r>
        <w:r w:rsidRPr="00717AF1">
          <w:rPr>
            <w:color w:val="000000"/>
          </w:rPr>
          <w:t>ed</w:t>
        </w:r>
        <w:r w:rsidRPr="00717AF1">
          <w:rPr>
            <w:color w:val="000000"/>
            <w:spacing w:val="-1"/>
          </w:rPr>
          <w:t>i</w:t>
        </w:r>
        <w:r w:rsidRPr="00717AF1">
          <w:rPr>
            <w:color w:val="000000"/>
          </w:rPr>
          <w:t>to</w:t>
        </w:r>
        <w:r w:rsidRPr="00717AF1">
          <w:rPr>
            <w:color w:val="000000"/>
            <w:spacing w:val="-1"/>
          </w:rPr>
          <w:t>r</w:t>
        </w:r>
        <w:r w:rsidRPr="00717AF1">
          <w:rPr>
            <w:color w:val="000000"/>
          </w:rPr>
          <w:t>.</w:t>
        </w:r>
      </w:hyperlink>
      <w:r w:rsidRPr="00717AF1">
        <w:t xml:space="preserve"> </w:t>
      </w:r>
    </w:p>
    <w:p w14:paraId="3AEE9172" w14:textId="77777777" w:rsidR="00CF32EE" w:rsidRPr="00717AF1" w:rsidRDefault="00CF32EE" w:rsidP="00CF32EE">
      <w:pPr>
        <w:rPr>
          <w:rFonts w:eastAsiaTheme="minorHAnsi"/>
        </w:rPr>
      </w:pPr>
    </w:p>
    <w:p w14:paraId="6D4E9B0D" w14:textId="77777777" w:rsidR="00CF32EE" w:rsidRDefault="00CF32EE"/>
    <w:sectPr w:rsidR="00CF32EE" w:rsidSect="00476C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CA9"/>
    <w:multiLevelType w:val="hybridMultilevel"/>
    <w:tmpl w:val="2CECB446"/>
    <w:lvl w:ilvl="0" w:tplc="04090001">
      <w:start w:val="1"/>
      <w:numFmt w:val="bullet"/>
      <w:lvlText w:val=""/>
      <w:lvlJc w:val="left"/>
      <w:pPr>
        <w:ind w:left="173" w:hanging="360"/>
      </w:pPr>
      <w:rPr>
        <w:rFonts w:ascii="Symbol" w:hAnsi="Symbol" w:hint="default"/>
      </w:rPr>
    </w:lvl>
    <w:lvl w:ilvl="1" w:tplc="04090003">
      <w:start w:val="1"/>
      <w:numFmt w:val="bullet"/>
      <w:lvlText w:val="o"/>
      <w:lvlJc w:val="left"/>
      <w:pPr>
        <w:ind w:left="893" w:hanging="360"/>
      </w:pPr>
      <w:rPr>
        <w:rFonts w:ascii="Courier New" w:hAnsi="Courier New" w:cs="Courier New" w:hint="default"/>
      </w:rPr>
    </w:lvl>
    <w:lvl w:ilvl="2" w:tplc="04090001">
      <w:start w:val="1"/>
      <w:numFmt w:val="bullet"/>
      <w:lvlText w:val=""/>
      <w:lvlJc w:val="left"/>
      <w:pPr>
        <w:ind w:left="1613" w:hanging="360"/>
      </w:pPr>
      <w:rPr>
        <w:rFonts w:ascii="Symbol" w:hAnsi="Symbol" w:hint="default"/>
      </w:rPr>
    </w:lvl>
    <w:lvl w:ilvl="3" w:tplc="04090001">
      <w:start w:val="1"/>
      <w:numFmt w:val="bullet"/>
      <w:lvlText w:val=""/>
      <w:lvlJc w:val="left"/>
      <w:pPr>
        <w:ind w:left="2333" w:hanging="360"/>
      </w:pPr>
      <w:rPr>
        <w:rFonts w:ascii="Symbol" w:hAnsi="Symbol" w:hint="default"/>
      </w:rPr>
    </w:lvl>
    <w:lvl w:ilvl="4" w:tplc="04090003">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 w15:restartNumberingAfterBreak="0">
    <w:nsid w:val="03FA4B76"/>
    <w:multiLevelType w:val="hybridMultilevel"/>
    <w:tmpl w:val="59EE7320"/>
    <w:lvl w:ilvl="0" w:tplc="0B54F39E">
      <w:start w:val="1"/>
      <w:numFmt w:val="bullet"/>
      <w:lvlText w:val=""/>
      <w:lvlJc w:val="left"/>
      <w:pPr>
        <w:tabs>
          <w:tab w:val="num" w:pos="720"/>
        </w:tabs>
        <w:ind w:left="720" w:hanging="360"/>
      </w:pPr>
      <w:rPr>
        <w:rFonts w:ascii="Wingdings" w:hAnsi="Wingdings" w:hint="default"/>
      </w:rPr>
    </w:lvl>
    <w:lvl w:ilvl="1" w:tplc="9BE0609C">
      <w:start w:val="4071"/>
      <w:numFmt w:val="bullet"/>
      <w:lvlText w:val=""/>
      <w:lvlJc w:val="left"/>
      <w:pPr>
        <w:tabs>
          <w:tab w:val="num" w:pos="1440"/>
        </w:tabs>
        <w:ind w:left="1440" w:hanging="360"/>
      </w:pPr>
      <w:rPr>
        <w:rFonts w:ascii="Wingdings" w:hAnsi="Wingdings" w:hint="default"/>
      </w:rPr>
    </w:lvl>
    <w:lvl w:ilvl="2" w:tplc="BDDC4D7A">
      <w:start w:val="4071"/>
      <w:numFmt w:val="bullet"/>
      <w:lvlText w:val=""/>
      <w:lvlJc w:val="left"/>
      <w:pPr>
        <w:tabs>
          <w:tab w:val="num" w:pos="2160"/>
        </w:tabs>
        <w:ind w:left="2160" w:hanging="360"/>
      </w:pPr>
      <w:rPr>
        <w:rFonts w:ascii="Wingdings" w:hAnsi="Wingdings" w:hint="default"/>
      </w:rPr>
    </w:lvl>
    <w:lvl w:ilvl="3" w:tplc="D6AE61C2" w:tentative="1">
      <w:start w:val="1"/>
      <w:numFmt w:val="bullet"/>
      <w:lvlText w:val=""/>
      <w:lvlJc w:val="left"/>
      <w:pPr>
        <w:tabs>
          <w:tab w:val="num" w:pos="2880"/>
        </w:tabs>
        <w:ind w:left="2880" w:hanging="360"/>
      </w:pPr>
      <w:rPr>
        <w:rFonts w:ascii="Wingdings" w:hAnsi="Wingdings" w:hint="default"/>
      </w:rPr>
    </w:lvl>
    <w:lvl w:ilvl="4" w:tplc="A3AC8714" w:tentative="1">
      <w:start w:val="1"/>
      <w:numFmt w:val="bullet"/>
      <w:lvlText w:val=""/>
      <w:lvlJc w:val="left"/>
      <w:pPr>
        <w:tabs>
          <w:tab w:val="num" w:pos="3600"/>
        </w:tabs>
        <w:ind w:left="3600" w:hanging="360"/>
      </w:pPr>
      <w:rPr>
        <w:rFonts w:ascii="Wingdings" w:hAnsi="Wingdings" w:hint="default"/>
      </w:rPr>
    </w:lvl>
    <w:lvl w:ilvl="5" w:tplc="761ED1A6" w:tentative="1">
      <w:start w:val="1"/>
      <w:numFmt w:val="bullet"/>
      <w:lvlText w:val=""/>
      <w:lvlJc w:val="left"/>
      <w:pPr>
        <w:tabs>
          <w:tab w:val="num" w:pos="4320"/>
        </w:tabs>
        <w:ind w:left="4320" w:hanging="360"/>
      </w:pPr>
      <w:rPr>
        <w:rFonts w:ascii="Wingdings" w:hAnsi="Wingdings" w:hint="default"/>
      </w:rPr>
    </w:lvl>
    <w:lvl w:ilvl="6" w:tplc="7E96C044" w:tentative="1">
      <w:start w:val="1"/>
      <w:numFmt w:val="bullet"/>
      <w:lvlText w:val=""/>
      <w:lvlJc w:val="left"/>
      <w:pPr>
        <w:tabs>
          <w:tab w:val="num" w:pos="5040"/>
        </w:tabs>
        <w:ind w:left="5040" w:hanging="360"/>
      </w:pPr>
      <w:rPr>
        <w:rFonts w:ascii="Wingdings" w:hAnsi="Wingdings" w:hint="default"/>
      </w:rPr>
    </w:lvl>
    <w:lvl w:ilvl="7" w:tplc="81E48EB4" w:tentative="1">
      <w:start w:val="1"/>
      <w:numFmt w:val="bullet"/>
      <w:lvlText w:val=""/>
      <w:lvlJc w:val="left"/>
      <w:pPr>
        <w:tabs>
          <w:tab w:val="num" w:pos="5760"/>
        </w:tabs>
        <w:ind w:left="5760" w:hanging="360"/>
      </w:pPr>
      <w:rPr>
        <w:rFonts w:ascii="Wingdings" w:hAnsi="Wingdings" w:hint="default"/>
      </w:rPr>
    </w:lvl>
    <w:lvl w:ilvl="8" w:tplc="1EF88B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7F2A"/>
    <w:multiLevelType w:val="hybridMultilevel"/>
    <w:tmpl w:val="75FCC7CC"/>
    <w:lvl w:ilvl="0" w:tplc="7850FBDA">
      <w:start w:val="1"/>
      <w:numFmt w:val="bullet"/>
      <w:lvlText w:val="•"/>
      <w:lvlJc w:val="left"/>
      <w:pPr>
        <w:tabs>
          <w:tab w:val="num" w:pos="720"/>
        </w:tabs>
        <w:ind w:left="720" w:hanging="360"/>
      </w:pPr>
      <w:rPr>
        <w:rFonts w:ascii="Arial" w:hAnsi="Arial" w:hint="default"/>
      </w:rPr>
    </w:lvl>
    <w:lvl w:ilvl="1" w:tplc="86388660">
      <w:start w:val="27954"/>
      <w:numFmt w:val="bullet"/>
      <w:lvlText w:val="–"/>
      <w:lvlJc w:val="left"/>
      <w:pPr>
        <w:tabs>
          <w:tab w:val="num" w:pos="1440"/>
        </w:tabs>
        <w:ind w:left="1440" w:hanging="360"/>
      </w:pPr>
      <w:rPr>
        <w:rFonts w:ascii="Arial" w:hAnsi="Arial" w:hint="default"/>
      </w:rPr>
    </w:lvl>
    <w:lvl w:ilvl="2" w:tplc="8DA8ED4A" w:tentative="1">
      <w:start w:val="1"/>
      <w:numFmt w:val="bullet"/>
      <w:lvlText w:val="•"/>
      <w:lvlJc w:val="left"/>
      <w:pPr>
        <w:tabs>
          <w:tab w:val="num" w:pos="2160"/>
        </w:tabs>
        <w:ind w:left="2160" w:hanging="360"/>
      </w:pPr>
      <w:rPr>
        <w:rFonts w:ascii="Arial" w:hAnsi="Arial" w:hint="default"/>
      </w:rPr>
    </w:lvl>
    <w:lvl w:ilvl="3" w:tplc="CC348A3C" w:tentative="1">
      <w:start w:val="1"/>
      <w:numFmt w:val="bullet"/>
      <w:lvlText w:val="•"/>
      <w:lvlJc w:val="left"/>
      <w:pPr>
        <w:tabs>
          <w:tab w:val="num" w:pos="2880"/>
        </w:tabs>
        <w:ind w:left="2880" w:hanging="360"/>
      </w:pPr>
      <w:rPr>
        <w:rFonts w:ascii="Arial" w:hAnsi="Arial" w:hint="default"/>
      </w:rPr>
    </w:lvl>
    <w:lvl w:ilvl="4" w:tplc="8482163C" w:tentative="1">
      <w:start w:val="1"/>
      <w:numFmt w:val="bullet"/>
      <w:lvlText w:val="•"/>
      <w:lvlJc w:val="left"/>
      <w:pPr>
        <w:tabs>
          <w:tab w:val="num" w:pos="3600"/>
        </w:tabs>
        <w:ind w:left="3600" w:hanging="360"/>
      </w:pPr>
      <w:rPr>
        <w:rFonts w:ascii="Arial" w:hAnsi="Arial" w:hint="default"/>
      </w:rPr>
    </w:lvl>
    <w:lvl w:ilvl="5" w:tplc="77B27A76" w:tentative="1">
      <w:start w:val="1"/>
      <w:numFmt w:val="bullet"/>
      <w:lvlText w:val="•"/>
      <w:lvlJc w:val="left"/>
      <w:pPr>
        <w:tabs>
          <w:tab w:val="num" w:pos="4320"/>
        </w:tabs>
        <w:ind w:left="4320" w:hanging="360"/>
      </w:pPr>
      <w:rPr>
        <w:rFonts w:ascii="Arial" w:hAnsi="Arial" w:hint="default"/>
      </w:rPr>
    </w:lvl>
    <w:lvl w:ilvl="6" w:tplc="9F54F5B4" w:tentative="1">
      <w:start w:val="1"/>
      <w:numFmt w:val="bullet"/>
      <w:lvlText w:val="•"/>
      <w:lvlJc w:val="left"/>
      <w:pPr>
        <w:tabs>
          <w:tab w:val="num" w:pos="5040"/>
        </w:tabs>
        <w:ind w:left="5040" w:hanging="360"/>
      </w:pPr>
      <w:rPr>
        <w:rFonts w:ascii="Arial" w:hAnsi="Arial" w:hint="default"/>
      </w:rPr>
    </w:lvl>
    <w:lvl w:ilvl="7" w:tplc="849002C2" w:tentative="1">
      <w:start w:val="1"/>
      <w:numFmt w:val="bullet"/>
      <w:lvlText w:val="•"/>
      <w:lvlJc w:val="left"/>
      <w:pPr>
        <w:tabs>
          <w:tab w:val="num" w:pos="5760"/>
        </w:tabs>
        <w:ind w:left="5760" w:hanging="360"/>
      </w:pPr>
      <w:rPr>
        <w:rFonts w:ascii="Arial" w:hAnsi="Arial" w:hint="default"/>
      </w:rPr>
    </w:lvl>
    <w:lvl w:ilvl="8" w:tplc="03B8E6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CF54FA"/>
    <w:multiLevelType w:val="hybridMultilevel"/>
    <w:tmpl w:val="6910E7C8"/>
    <w:lvl w:ilvl="0" w:tplc="26E0DF8A">
      <w:start w:val="2019"/>
      <w:numFmt w:val="bullet"/>
      <w:lvlText w:val=""/>
      <w:lvlJc w:val="left"/>
      <w:pPr>
        <w:ind w:left="720" w:hanging="360"/>
      </w:pPr>
      <w:rPr>
        <w:rFonts w:ascii="Symbol" w:eastAsiaTheme="minorHAnsi" w:hAnsi="Symbol" w:cs="Melio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C3846"/>
    <w:multiLevelType w:val="hybridMultilevel"/>
    <w:tmpl w:val="5E380F6E"/>
    <w:lvl w:ilvl="0" w:tplc="136C5C54">
      <w:start w:val="3"/>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919BD"/>
    <w:multiLevelType w:val="hybridMultilevel"/>
    <w:tmpl w:val="247606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12DF"/>
    <w:multiLevelType w:val="multilevel"/>
    <w:tmpl w:val="6A385570"/>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7" w15:restartNumberingAfterBreak="0">
    <w:nsid w:val="577F7A68"/>
    <w:multiLevelType w:val="hybridMultilevel"/>
    <w:tmpl w:val="9B2C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771F4"/>
    <w:multiLevelType w:val="hybridMultilevel"/>
    <w:tmpl w:val="52DAF882"/>
    <w:lvl w:ilvl="0" w:tplc="3B6AA13A">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DA63FC"/>
    <w:multiLevelType w:val="hybridMultilevel"/>
    <w:tmpl w:val="AD900C8A"/>
    <w:lvl w:ilvl="0" w:tplc="9280E2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3"/>
  </w:num>
  <w:num w:numId="6">
    <w:abstractNumId w:val="6"/>
  </w:num>
  <w:num w:numId="7">
    <w:abstractNumId w:val="2"/>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E6"/>
    <w:rsid w:val="0000261D"/>
    <w:rsid w:val="00045811"/>
    <w:rsid w:val="00070529"/>
    <w:rsid w:val="000D09B5"/>
    <w:rsid w:val="00135FE0"/>
    <w:rsid w:val="001D0F40"/>
    <w:rsid w:val="001D77B8"/>
    <w:rsid w:val="001F49D0"/>
    <w:rsid w:val="00202860"/>
    <w:rsid w:val="002549F5"/>
    <w:rsid w:val="003344FE"/>
    <w:rsid w:val="0043425A"/>
    <w:rsid w:val="00466E0D"/>
    <w:rsid w:val="00476CDF"/>
    <w:rsid w:val="00480F16"/>
    <w:rsid w:val="00577369"/>
    <w:rsid w:val="005F2DE6"/>
    <w:rsid w:val="00671953"/>
    <w:rsid w:val="006C54A4"/>
    <w:rsid w:val="00700A4A"/>
    <w:rsid w:val="00757C17"/>
    <w:rsid w:val="00775559"/>
    <w:rsid w:val="0078793D"/>
    <w:rsid w:val="008039B3"/>
    <w:rsid w:val="008819FE"/>
    <w:rsid w:val="008D2E79"/>
    <w:rsid w:val="00917FB3"/>
    <w:rsid w:val="00980755"/>
    <w:rsid w:val="009923BD"/>
    <w:rsid w:val="009A3D1B"/>
    <w:rsid w:val="00A6699D"/>
    <w:rsid w:val="00AB2F45"/>
    <w:rsid w:val="00AC5076"/>
    <w:rsid w:val="00AC5859"/>
    <w:rsid w:val="00AD63BA"/>
    <w:rsid w:val="00B42253"/>
    <w:rsid w:val="00BC053E"/>
    <w:rsid w:val="00BC079A"/>
    <w:rsid w:val="00C223F4"/>
    <w:rsid w:val="00C524BE"/>
    <w:rsid w:val="00C91BBD"/>
    <w:rsid w:val="00CF32EE"/>
    <w:rsid w:val="00D2179D"/>
    <w:rsid w:val="00D433E5"/>
    <w:rsid w:val="00D55367"/>
    <w:rsid w:val="00DF5FF1"/>
    <w:rsid w:val="00E37DF3"/>
    <w:rsid w:val="00EB594B"/>
    <w:rsid w:val="00F0498F"/>
    <w:rsid w:val="00F51D62"/>
    <w:rsid w:val="00F936E1"/>
    <w:rsid w:val="00FF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1711"/>
  <w15:chartTrackingRefBased/>
  <w15:docId w15:val="{B50AB87E-39DC-4C63-AEF5-977C4265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DE6"/>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5F2DE6"/>
    <w:pPr>
      <w:spacing w:before="240" w:after="240" w:line="240" w:lineRule="auto"/>
      <w:contextualSpacing/>
      <w:jc w:val="center"/>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semiHidden/>
    <w:unhideWhenUsed/>
    <w:qFormat/>
    <w:rsid w:val="005F2D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E6"/>
    <w:rPr>
      <w:rFonts w:ascii="Arial" w:eastAsiaTheme="majorEastAsia" w:hAnsi="Arial" w:cstheme="majorBidi"/>
      <w:b/>
      <w:bCs/>
      <w:sz w:val="32"/>
      <w:szCs w:val="28"/>
    </w:rPr>
  </w:style>
  <w:style w:type="character" w:styleId="Hyperlink">
    <w:name w:val="Hyperlink"/>
    <w:basedOn w:val="DefaultParagraphFont"/>
    <w:uiPriority w:val="99"/>
    <w:unhideWhenUsed/>
    <w:rsid w:val="005F2DE6"/>
    <w:rPr>
      <w:color w:val="0563C1" w:themeColor="hyperlink"/>
      <w:u w:val="single"/>
    </w:rPr>
  </w:style>
  <w:style w:type="character" w:customStyle="1" w:styleId="Heading2Char">
    <w:name w:val="Heading 2 Char"/>
    <w:basedOn w:val="DefaultParagraphFont"/>
    <w:link w:val="Heading2"/>
    <w:uiPriority w:val="9"/>
    <w:semiHidden/>
    <w:rsid w:val="005F2DE6"/>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5F2DE6"/>
    <w:rPr>
      <w:b/>
      <w:bCs/>
      <w:i/>
      <w:iCs/>
    </w:rPr>
  </w:style>
  <w:style w:type="paragraph" w:styleId="ListParagraph">
    <w:name w:val="List Paragraph"/>
    <w:basedOn w:val="Normal"/>
    <w:uiPriority w:val="34"/>
    <w:qFormat/>
    <w:rsid w:val="005F2DE6"/>
    <w:pPr>
      <w:spacing w:line="288" w:lineRule="auto"/>
      <w:ind w:left="720"/>
      <w:contextualSpacing/>
    </w:pPr>
    <w:rPr>
      <w:rFonts w:ascii="Verdana" w:hAnsi="Verdana"/>
      <w:szCs w:val="21"/>
    </w:rPr>
  </w:style>
  <w:style w:type="character" w:styleId="Strong">
    <w:name w:val="Strong"/>
    <w:basedOn w:val="DefaultParagraphFont"/>
    <w:uiPriority w:val="22"/>
    <w:qFormat/>
    <w:rsid w:val="005F2DE6"/>
    <w:rPr>
      <w:b/>
      <w:bCs/>
    </w:rPr>
  </w:style>
  <w:style w:type="character" w:styleId="Emphasis">
    <w:name w:val="Emphasis"/>
    <w:basedOn w:val="DefaultParagraphFont"/>
    <w:uiPriority w:val="20"/>
    <w:qFormat/>
    <w:rsid w:val="005F2DE6"/>
    <w:rPr>
      <w:i/>
      <w:iCs/>
      <w:color w:val="00419E"/>
    </w:rPr>
  </w:style>
  <w:style w:type="character" w:styleId="SubtleEmphasis">
    <w:name w:val="Subtle Emphasis"/>
    <w:basedOn w:val="DefaultParagraphFont"/>
    <w:uiPriority w:val="19"/>
    <w:qFormat/>
    <w:rsid w:val="005F2DE6"/>
    <w:rPr>
      <w:i/>
      <w:iCs/>
    </w:rPr>
  </w:style>
  <w:style w:type="character" w:customStyle="1" w:styleId="ms-rtefontsize-3">
    <w:name w:val="ms-rtefontsize-3"/>
    <w:basedOn w:val="DefaultParagraphFont"/>
    <w:rsid w:val="005F2DE6"/>
  </w:style>
  <w:style w:type="character" w:styleId="UnresolvedMention">
    <w:name w:val="Unresolved Mention"/>
    <w:basedOn w:val="DefaultParagraphFont"/>
    <w:uiPriority w:val="99"/>
    <w:semiHidden/>
    <w:unhideWhenUsed/>
    <w:rsid w:val="00757C17"/>
    <w:rPr>
      <w:color w:val="605E5C"/>
      <w:shd w:val="clear" w:color="auto" w:fill="E1DFDD"/>
    </w:rPr>
  </w:style>
  <w:style w:type="table" w:styleId="TableGrid">
    <w:name w:val="Table Grid"/>
    <w:basedOn w:val="TableNormal"/>
    <w:uiPriority w:val="39"/>
    <w:rsid w:val="00CF32E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33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3E5"/>
    <w:rPr>
      <w:rFonts w:asciiTheme="majorHAnsi" w:eastAsiaTheme="majorEastAsia" w:hAnsiTheme="majorHAnsi" w:cstheme="majorBidi"/>
      <w:spacing w:val="-10"/>
      <w:kern w:val="28"/>
      <w:sz w:val="56"/>
      <w:szCs w:val="56"/>
    </w:rPr>
  </w:style>
  <w:style w:type="paragraph" w:styleId="NoSpacing">
    <w:name w:val="No Spacing"/>
    <w:uiPriority w:val="1"/>
    <w:qFormat/>
    <w:rsid w:val="00A6699D"/>
    <w:pPr>
      <w:spacing w:after="0" w:line="240" w:lineRule="auto"/>
    </w:pPr>
  </w:style>
  <w:style w:type="paragraph" w:styleId="NormalWeb">
    <w:name w:val="Normal (Web)"/>
    <w:basedOn w:val="Normal"/>
    <w:uiPriority w:val="99"/>
    <w:unhideWhenUsed/>
    <w:rsid w:val="00135FE0"/>
    <w:pPr>
      <w:spacing w:before="100" w:beforeAutospacing="1" w:after="100" w:afterAutospacing="1" w:line="240" w:lineRule="auto"/>
    </w:pPr>
    <w:rPr>
      <w:rFonts w:ascii="Calibri" w:eastAsiaTheme="minorHAnsi" w:hAnsi="Calibri" w:cs="Calibri"/>
      <w:sz w:val="22"/>
    </w:rPr>
  </w:style>
  <w:style w:type="paragraph" w:customStyle="1" w:styleId="Pa1">
    <w:name w:val="Pa1"/>
    <w:basedOn w:val="Normal"/>
    <w:next w:val="Normal"/>
    <w:uiPriority w:val="99"/>
    <w:rsid w:val="00135FE0"/>
    <w:pPr>
      <w:autoSpaceDE w:val="0"/>
      <w:autoSpaceDN w:val="0"/>
      <w:adjustRightInd w:val="0"/>
      <w:spacing w:after="0" w:line="241" w:lineRule="atLeast"/>
    </w:pPr>
    <w:rPr>
      <w:rFonts w:ascii="Nunito Sans" w:eastAsiaTheme="minorHAnsi" w:hAnsi="Nunito Sans"/>
      <w:szCs w:val="24"/>
    </w:rPr>
  </w:style>
  <w:style w:type="paragraph" w:styleId="BalloonText">
    <w:name w:val="Balloon Text"/>
    <w:basedOn w:val="Normal"/>
    <w:link w:val="BalloonTextChar"/>
    <w:uiPriority w:val="99"/>
    <w:semiHidden/>
    <w:unhideWhenUsed/>
    <w:rsid w:val="008D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E79"/>
    <w:rPr>
      <w:rFonts w:ascii="Segoe UI" w:eastAsiaTheme="minorEastAsia" w:hAnsi="Segoe UI" w:cs="Segoe UI"/>
      <w:sz w:val="18"/>
      <w:szCs w:val="18"/>
    </w:rPr>
  </w:style>
  <w:style w:type="paragraph" w:styleId="Revision">
    <w:name w:val="Revision"/>
    <w:hidden/>
    <w:uiPriority w:val="99"/>
    <w:semiHidden/>
    <w:rsid w:val="00D55367"/>
    <w:pPr>
      <w:spacing w:after="0" w:line="240" w:lineRule="auto"/>
    </w:pPr>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D55367"/>
    <w:rPr>
      <w:sz w:val="16"/>
      <w:szCs w:val="16"/>
    </w:rPr>
  </w:style>
  <w:style w:type="paragraph" w:styleId="CommentText">
    <w:name w:val="annotation text"/>
    <w:basedOn w:val="Normal"/>
    <w:link w:val="CommentTextChar"/>
    <w:uiPriority w:val="99"/>
    <w:semiHidden/>
    <w:unhideWhenUsed/>
    <w:rsid w:val="00D55367"/>
    <w:pPr>
      <w:spacing w:line="240" w:lineRule="auto"/>
    </w:pPr>
    <w:rPr>
      <w:sz w:val="20"/>
      <w:szCs w:val="20"/>
    </w:rPr>
  </w:style>
  <w:style w:type="character" w:customStyle="1" w:styleId="CommentTextChar">
    <w:name w:val="Comment Text Char"/>
    <w:basedOn w:val="DefaultParagraphFont"/>
    <w:link w:val="CommentText"/>
    <w:uiPriority w:val="99"/>
    <w:semiHidden/>
    <w:rsid w:val="00D55367"/>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55367"/>
    <w:rPr>
      <w:b/>
      <w:bCs/>
    </w:rPr>
  </w:style>
  <w:style w:type="character" w:customStyle="1" w:styleId="CommentSubjectChar">
    <w:name w:val="Comment Subject Char"/>
    <w:basedOn w:val="CommentTextChar"/>
    <w:link w:val="CommentSubject"/>
    <w:uiPriority w:val="99"/>
    <w:semiHidden/>
    <w:rsid w:val="00D55367"/>
    <w:rPr>
      <w:rFonts w:ascii="Times New Roman" w:eastAsiaTheme="minorEastAsia" w:hAnsi="Times New Roman"/>
      <w:b/>
      <w:bCs/>
      <w:sz w:val="20"/>
      <w:szCs w:val="20"/>
    </w:rPr>
  </w:style>
  <w:style w:type="character" w:styleId="FollowedHyperlink">
    <w:name w:val="FollowedHyperlink"/>
    <w:basedOn w:val="DefaultParagraphFont"/>
    <w:uiPriority w:val="99"/>
    <w:semiHidden/>
    <w:unhideWhenUsed/>
    <w:rsid w:val="00775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0600">
      <w:bodyDiv w:val="1"/>
      <w:marLeft w:val="0"/>
      <w:marRight w:val="0"/>
      <w:marTop w:val="0"/>
      <w:marBottom w:val="0"/>
      <w:divBdr>
        <w:top w:val="none" w:sz="0" w:space="0" w:color="auto"/>
        <w:left w:val="none" w:sz="0" w:space="0" w:color="auto"/>
        <w:bottom w:val="none" w:sz="0" w:space="0" w:color="auto"/>
        <w:right w:val="none" w:sz="0" w:space="0" w:color="auto"/>
      </w:divBdr>
    </w:div>
    <w:div w:id="131211739">
      <w:bodyDiv w:val="1"/>
      <w:marLeft w:val="0"/>
      <w:marRight w:val="0"/>
      <w:marTop w:val="0"/>
      <w:marBottom w:val="0"/>
      <w:divBdr>
        <w:top w:val="none" w:sz="0" w:space="0" w:color="auto"/>
        <w:left w:val="none" w:sz="0" w:space="0" w:color="auto"/>
        <w:bottom w:val="none" w:sz="0" w:space="0" w:color="auto"/>
        <w:right w:val="none" w:sz="0" w:space="0" w:color="auto"/>
      </w:divBdr>
    </w:div>
    <w:div w:id="358821171">
      <w:bodyDiv w:val="1"/>
      <w:marLeft w:val="0"/>
      <w:marRight w:val="0"/>
      <w:marTop w:val="0"/>
      <w:marBottom w:val="0"/>
      <w:divBdr>
        <w:top w:val="none" w:sz="0" w:space="0" w:color="auto"/>
        <w:left w:val="none" w:sz="0" w:space="0" w:color="auto"/>
        <w:bottom w:val="none" w:sz="0" w:space="0" w:color="auto"/>
        <w:right w:val="none" w:sz="0" w:space="0" w:color="auto"/>
      </w:divBdr>
    </w:div>
    <w:div w:id="1022517223">
      <w:bodyDiv w:val="1"/>
      <w:marLeft w:val="0"/>
      <w:marRight w:val="0"/>
      <w:marTop w:val="0"/>
      <w:marBottom w:val="0"/>
      <w:divBdr>
        <w:top w:val="none" w:sz="0" w:space="0" w:color="auto"/>
        <w:left w:val="none" w:sz="0" w:space="0" w:color="auto"/>
        <w:bottom w:val="none" w:sz="0" w:space="0" w:color="auto"/>
        <w:right w:val="none" w:sz="0" w:space="0" w:color="auto"/>
      </w:divBdr>
    </w:div>
    <w:div w:id="1100833374">
      <w:bodyDiv w:val="1"/>
      <w:marLeft w:val="0"/>
      <w:marRight w:val="0"/>
      <w:marTop w:val="0"/>
      <w:marBottom w:val="0"/>
      <w:divBdr>
        <w:top w:val="none" w:sz="0" w:space="0" w:color="auto"/>
        <w:left w:val="none" w:sz="0" w:space="0" w:color="auto"/>
        <w:bottom w:val="none" w:sz="0" w:space="0" w:color="auto"/>
        <w:right w:val="none" w:sz="0" w:space="0" w:color="auto"/>
      </w:divBdr>
      <w:divsChild>
        <w:div w:id="1947614908">
          <w:marLeft w:val="0"/>
          <w:marRight w:val="0"/>
          <w:marTop w:val="0"/>
          <w:marBottom w:val="0"/>
          <w:divBdr>
            <w:top w:val="none" w:sz="0" w:space="0" w:color="auto"/>
            <w:left w:val="none" w:sz="0" w:space="0" w:color="auto"/>
            <w:bottom w:val="none" w:sz="0" w:space="0" w:color="auto"/>
            <w:right w:val="none" w:sz="0" w:space="0" w:color="auto"/>
          </w:divBdr>
          <w:divsChild>
            <w:div w:id="782653349">
              <w:marLeft w:val="0"/>
              <w:marRight w:val="0"/>
              <w:marTop w:val="0"/>
              <w:marBottom w:val="0"/>
              <w:divBdr>
                <w:top w:val="none" w:sz="0" w:space="0" w:color="auto"/>
                <w:left w:val="none" w:sz="0" w:space="0" w:color="auto"/>
                <w:bottom w:val="none" w:sz="0" w:space="0" w:color="auto"/>
                <w:right w:val="none" w:sz="0" w:space="0" w:color="auto"/>
              </w:divBdr>
              <w:divsChild>
                <w:div w:id="1823738972">
                  <w:marLeft w:val="0"/>
                  <w:marRight w:val="0"/>
                  <w:marTop w:val="0"/>
                  <w:marBottom w:val="0"/>
                  <w:divBdr>
                    <w:top w:val="none" w:sz="0" w:space="0" w:color="auto"/>
                    <w:left w:val="none" w:sz="0" w:space="0" w:color="auto"/>
                    <w:bottom w:val="none" w:sz="0" w:space="0" w:color="auto"/>
                    <w:right w:val="none" w:sz="0" w:space="0" w:color="auto"/>
                  </w:divBdr>
                  <w:divsChild>
                    <w:div w:id="1453403295">
                      <w:marLeft w:val="0"/>
                      <w:marRight w:val="0"/>
                      <w:marTop w:val="0"/>
                      <w:marBottom w:val="0"/>
                      <w:divBdr>
                        <w:top w:val="none" w:sz="0" w:space="0" w:color="auto"/>
                        <w:left w:val="none" w:sz="0" w:space="0" w:color="auto"/>
                        <w:bottom w:val="none" w:sz="0" w:space="0" w:color="auto"/>
                        <w:right w:val="none" w:sz="0" w:space="0" w:color="auto"/>
                      </w:divBdr>
                      <w:divsChild>
                        <w:div w:id="2006127469">
                          <w:marLeft w:val="0"/>
                          <w:marRight w:val="0"/>
                          <w:marTop w:val="0"/>
                          <w:marBottom w:val="0"/>
                          <w:divBdr>
                            <w:top w:val="none" w:sz="0" w:space="0" w:color="auto"/>
                            <w:left w:val="none" w:sz="0" w:space="0" w:color="auto"/>
                            <w:bottom w:val="none" w:sz="0" w:space="0" w:color="auto"/>
                            <w:right w:val="none" w:sz="0" w:space="0" w:color="auto"/>
                          </w:divBdr>
                          <w:divsChild>
                            <w:div w:id="1210914619">
                              <w:marLeft w:val="0"/>
                              <w:marRight w:val="0"/>
                              <w:marTop w:val="0"/>
                              <w:marBottom w:val="0"/>
                              <w:divBdr>
                                <w:top w:val="none" w:sz="0" w:space="0" w:color="auto"/>
                                <w:left w:val="none" w:sz="0" w:space="0" w:color="auto"/>
                                <w:bottom w:val="none" w:sz="0" w:space="0" w:color="auto"/>
                                <w:right w:val="none" w:sz="0" w:space="0" w:color="auto"/>
                              </w:divBdr>
                            </w:div>
                            <w:div w:id="2112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91028">
      <w:bodyDiv w:val="1"/>
      <w:marLeft w:val="0"/>
      <w:marRight w:val="0"/>
      <w:marTop w:val="0"/>
      <w:marBottom w:val="0"/>
      <w:divBdr>
        <w:top w:val="none" w:sz="0" w:space="0" w:color="auto"/>
        <w:left w:val="none" w:sz="0" w:space="0" w:color="auto"/>
        <w:bottom w:val="none" w:sz="0" w:space="0" w:color="auto"/>
        <w:right w:val="none" w:sz="0" w:space="0" w:color="auto"/>
      </w:divBdr>
    </w:div>
    <w:div w:id="19468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lmsps.od.nih.gov/OAMP/DSAPS/ASRB/SAPhD/Shared%20Documents/889%20FAQs%20for%20Acquisition%20Workforce.pdf" TargetMode="External"/><Relationship Id="rId13" Type="http://schemas.openxmlformats.org/officeDocument/2006/relationships/hyperlink" Target="mailto:NIHSmallBusiness@nih.gov" TargetMode="External"/><Relationship Id="rId18" Type="http://schemas.openxmlformats.org/officeDocument/2006/relationships/hyperlink" Target="http://training.cit.nih.gov/list.aspx?catId=14" TargetMode="External"/><Relationship Id="rId26" Type="http://schemas.openxmlformats.org/officeDocument/2006/relationships/hyperlink" Target="mailto:,%20" TargetMode="External"/><Relationship Id="rId3" Type="http://schemas.openxmlformats.org/officeDocument/2006/relationships/styles" Target="styles.xml"/><Relationship Id="rId21" Type="http://schemas.openxmlformats.org/officeDocument/2006/relationships/hyperlink" Target="http://oamp.od.nih.gov/dsaps/bpa-program" TargetMode="External"/><Relationship Id="rId7" Type="http://schemas.openxmlformats.org/officeDocument/2006/relationships/hyperlink" Target="https://www.federalregister.gov/documents/2019/08/13/2019-17201/federal-acquisition-regulation-prohibition-on-contracting-for-certain-telecommunications-and-video" TargetMode="External"/><Relationship Id="rId12" Type="http://schemas.openxmlformats.org/officeDocument/2006/relationships/hyperlink" Target="https://www.oversight.gov/sites/default/files/oig-reports/OIG-19-A-17-Evaluation%20of%20NRC%E2%80%99s%20Oversight%20of%20the%20Voice%20over%20Internet%20Protocol%20Contract%20and%20Implementation%20Final%20Report%28BXK%29.pdf" TargetMode="External"/><Relationship Id="rId17" Type="http://schemas.openxmlformats.org/officeDocument/2006/relationships/hyperlink" Target="https://learn.dau.mil/Atlas2/faces/page/atlasSE/login/Login.seam" TargetMode="External"/><Relationship Id="rId25" Type="http://schemas.openxmlformats.org/officeDocument/2006/relationships/hyperlink" Target="mailto:Jesse.Lee2@nih.gov" TargetMode="External"/><Relationship Id="rId2" Type="http://schemas.openxmlformats.org/officeDocument/2006/relationships/numbering" Target="numbering.xml"/><Relationship Id="rId16" Type="http://schemas.openxmlformats.org/officeDocument/2006/relationships/hyperlink" Target="http://www.fai.gov/" TargetMode="External"/><Relationship Id="rId20" Type="http://schemas.openxmlformats.org/officeDocument/2006/relationships/hyperlink" Target="mailto:BPAProgramBranch@od.nih.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gress.gov/bill/115th-congress/house-bill/5515/text" TargetMode="External"/><Relationship Id="rId11" Type="http://schemas.openxmlformats.org/officeDocument/2006/relationships/hyperlink" Target="https://psctool.us" TargetMode="External"/><Relationship Id="rId24" Type="http://schemas.openxmlformats.org/officeDocument/2006/relationships/hyperlink" Target="mailto:McDermottMl@od.nih.gov" TargetMode="External"/><Relationship Id="rId5" Type="http://schemas.openxmlformats.org/officeDocument/2006/relationships/webSettings" Target="webSettings.xml"/><Relationship Id="rId15" Type="http://schemas.openxmlformats.org/officeDocument/2006/relationships/hyperlink" Target="https://hr.nih.gov/training-center/course-catalog/acquisitions-management" TargetMode="External"/><Relationship Id="rId23" Type="http://schemas.openxmlformats.org/officeDocument/2006/relationships/hyperlink" Target="mailto:NicholaM@od.nih.gov" TargetMode="External"/><Relationship Id="rId28" Type="http://schemas.openxmlformats.org/officeDocument/2006/relationships/hyperlink" Target="mailto:OALMnewsletter@mail.nih.gov" TargetMode="External"/><Relationship Id="rId10" Type="http://schemas.openxmlformats.org/officeDocument/2006/relationships/hyperlink" Target="https://www.acquisition.gov/sites/default/files/page_file_uploads/PSC_Manual_June_2019_Edition_6%20_20_19%20%281%29.pdf" TargetMode="External"/><Relationship Id="rId19" Type="http://schemas.openxmlformats.org/officeDocument/2006/relationships/hyperlink" Target="http://oalm.od.nih.gov/GreenPurchasingForWebsite" TargetMode="External"/><Relationship Id="rId4" Type="http://schemas.openxmlformats.org/officeDocument/2006/relationships/settings" Target="settings.xml"/><Relationship Id="rId9" Type="http://schemas.openxmlformats.org/officeDocument/2006/relationships/hyperlink" Target="https://oalmsps.od.nih.gov/OAMP/DSAPS/ASRB/SAPhD/Shared%20Documents/FAR%204.2105%20Decision%20Tree.pdf" TargetMode="External"/><Relationship Id="rId14" Type="http://schemas.openxmlformats.org/officeDocument/2006/relationships/hyperlink" Target="https://hr.nih.gov/training-center/course-catalog/acquisitions-management" TargetMode="External"/><Relationship Id="rId22" Type="http://schemas.openxmlformats.org/officeDocument/2006/relationships/hyperlink" Target="mailto:BPAProgramBranch@od.nih.gov" TargetMode="External"/><Relationship Id="rId27" Type="http://schemas.openxmlformats.org/officeDocument/2006/relationships/hyperlink" Target="mailto:SolomonBJ@od.nih.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43D1-6F77-4ECF-AA0F-879AFBCD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Barry (NIH/OD) [E]</dc:creator>
  <cp:keywords/>
  <dc:description/>
  <cp:lastModifiedBy>Ambrose, Alan (NIH/OD) [C]</cp:lastModifiedBy>
  <cp:revision>3</cp:revision>
  <cp:lastPrinted>2019-11-01T17:28:00Z</cp:lastPrinted>
  <dcterms:created xsi:type="dcterms:W3CDTF">2019-11-15T20:58:00Z</dcterms:created>
  <dcterms:modified xsi:type="dcterms:W3CDTF">2019-11-15T20:58:00Z</dcterms:modified>
</cp:coreProperties>
</file>